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0A57E" w14:textId="1159D1AD" w:rsidR="000765F6" w:rsidRPr="000765F6" w:rsidRDefault="000765F6" w:rsidP="000765F6">
      <w:pPr>
        <w:pStyle w:val="KeinLeerraum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765F6">
        <w:rPr>
          <w:rFonts w:ascii="Times New Roman" w:hAnsi="Times New Roman" w:cs="Times New Roman"/>
          <w:sz w:val="24"/>
          <w:szCs w:val="24"/>
          <w:lang w:val="en-US"/>
        </w:rPr>
        <w:t>Instruction page and choice of categor</w:t>
      </w:r>
      <w:r w:rsidR="00892BA6">
        <w:rPr>
          <w:rFonts w:ascii="Times New Roman" w:hAnsi="Times New Roman" w:cs="Times New Roman"/>
          <w:sz w:val="24"/>
          <w:szCs w:val="24"/>
          <w:lang w:val="en-US"/>
        </w:rPr>
        <w:t>ies</w:t>
      </w:r>
    </w:p>
    <w:p w14:paraId="273B14CE" w14:textId="77777777" w:rsidR="000765F6" w:rsidRDefault="000765F6" w:rsidP="000765F6">
      <w:pPr>
        <w:pStyle w:val="KeinLeerraum"/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6F333423" w14:textId="09C29AFE" w:rsidR="000765F6" w:rsidRPr="000765F6" w:rsidRDefault="000765F6" w:rsidP="000765F6">
      <w:pPr>
        <w:pStyle w:val="KeinLeerraum"/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0765F6">
        <w:rPr>
          <w:rFonts w:ascii="Times New Roman" w:hAnsi="Times New Roman" w:cs="Times New Roman"/>
          <w:lang w:val="en-US"/>
        </w:rPr>
        <w:t xml:space="preserve">Dear authors, </w:t>
      </w:r>
    </w:p>
    <w:p w14:paraId="2493FFE1" w14:textId="35EEA74F" w:rsidR="00892BA6" w:rsidRDefault="00412412" w:rsidP="000765F6">
      <w:pPr>
        <w:pStyle w:val="KeinLeerraum"/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</w:t>
      </w:r>
      <w:r w:rsidR="000765F6" w:rsidRPr="000765F6">
        <w:rPr>
          <w:rFonts w:ascii="Times New Roman" w:hAnsi="Times New Roman" w:cs="Times New Roman"/>
          <w:lang w:val="en-US"/>
        </w:rPr>
        <w:t>lease use this template to submit your abstract</w:t>
      </w:r>
      <w:r w:rsidR="00892BA6">
        <w:rPr>
          <w:rFonts w:ascii="Times New Roman" w:hAnsi="Times New Roman" w:cs="Times New Roman"/>
          <w:lang w:val="en-US"/>
        </w:rPr>
        <w:t xml:space="preserve"> (for technical reasons, we cannot allow other formats)</w:t>
      </w:r>
      <w:r w:rsidR="000765F6" w:rsidRPr="000765F6">
        <w:rPr>
          <w:rFonts w:ascii="Times New Roman" w:hAnsi="Times New Roman" w:cs="Times New Roman"/>
          <w:lang w:val="en-US"/>
        </w:rPr>
        <w:t xml:space="preserve">. Note that the abstract must not exceed </w:t>
      </w:r>
      <w:r>
        <w:rPr>
          <w:rFonts w:ascii="Times New Roman" w:hAnsi="Times New Roman" w:cs="Times New Roman"/>
          <w:lang w:val="en-US"/>
        </w:rPr>
        <w:t>1</w:t>
      </w:r>
      <w:r w:rsidR="000765F6" w:rsidRPr="000765F6">
        <w:rPr>
          <w:rFonts w:ascii="Times New Roman" w:hAnsi="Times New Roman" w:cs="Times New Roman"/>
          <w:lang w:val="en-US"/>
        </w:rPr>
        <w:t xml:space="preserve"> page </w:t>
      </w:r>
      <w:r w:rsidR="000C568E">
        <w:rPr>
          <w:rFonts w:ascii="Times New Roman" w:hAnsi="Times New Roman" w:cs="Times New Roman"/>
          <w:lang w:val="en-US"/>
        </w:rPr>
        <w:t xml:space="preserve">(excluding references) </w:t>
      </w:r>
      <w:r w:rsidR="000765F6" w:rsidRPr="000765F6">
        <w:rPr>
          <w:rFonts w:ascii="Times New Roman" w:hAnsi="Times New Roman" w:cs="Times New Roman"/>
          <w:lang w:val="en-US"/>
        </w:rPr>
        <w:t>corresponding to approximately 350 words with font: Times New Roman, font size: 11</w:t>
      </w:r>
      <w:r w:rsidR="0056726F">
        <w:rPr>
          <w:rFonts w:ascii="Times New Roman" w:hAnsi="Times New Roman" w:cs="Times New Roman"/>
          <w:lang w:val="en-US"/>
        </w:rPr>
        <w:t xml:space="preserve"> pt.</w:t>
      </w:r>
      <w:r w:rsidR="000765F6" w:rsidRPr="000765F6">
        <w:rPr>
          <w:rFonts w:ascii="Times New Roman" w:hAnsi="Times New Roman" w:cs="Times New Roman"/>
          <w:lang w:val="en-US"/>
        </w:rPr>
        <w:t>, line spacing</w:t>
      </w:r>
      <w:r>
        <w:rPr>
          <w:rFonts w:ascii="Times New Roman" w:hAnsi="Times New Roman" w:cs="Times New Roman"/>
          <w:lang w:val="en-US"/>
        </w:rPr>
        <w:t>: </w:t>
      </w:r>
      <w:r w:rsidR="000765F6" w:rsidRPr="000765F6">
        <w:rPr>
          <w:rFonts w:ascii="Times New Roman" w:hAnsi="Times New Roman" w:cs="Times New Roman"/>
          <w:lang w:val="en-US"/>
        </w:rPr>
        <w:t>1.5</w:t>
      </w:r>
      <w:r>
        <w:rPr>
          <w:rFonts w:ascii="Times New Roman" w:hAnsi="Times New Roman" w:cs="Times New Roman"/>
          <w:lang w:val="en-US"/>
        </w:rPr>
        <w:t>.</w:t>
      </w:r>
      <w:r w:rsidR="002F1542">
        <w:rPr>
          <w:rFonts w:ascii="Times New Roman" w:hAnsi="Times New Roman" w:cs="Times New Roman"/>
          <w:lang w:val="en-US"/>
        </w:rPr>
        <w:t xml:space="preserve"> Be aware that</w:t>
      </w:r>
      <w:r w:rsidR="000765F6" w:rsidRPr="000765F6">
        <w:rPr>
          <w:rFonts w:ascii="Times New Roman" w:hAnsi="Times New Roman" w:cs="Times New Roman"/>
          <w:lang w:val="en-US"/>
        </w:rPr>
        <w:t xml:space="preserve"> </w:t>
      </w:r>
      <w:r w:rsidR="002F1542">
        <w:rPr>
          <w:rFonts w:ascii="Times New Roman" w:hAnsi="Times New Roman" w:cs="Times New Roman"/>
          <w:lang w:val="en-US"/>
        </w:rPr>
        <w:t>f</w:t>
      </w:r>
      <w:r w:rsidR="000765F6" w:rsidRPr="000765F6">
        <w:rPr>
          <w:rFonts w:ascii="Times New Roman" w:hAnsi="Times New Roman" w:cs="Times New Roman"/>
          <w:lang w:val="en-US"/>
        </w:rPr>
        <w:t>igures/tables are not allowed</w:t>
      </w:r>
      <w:r w:rsidR="002F1542">
        <w:rPr>
          <w:rFonts w:ascii="Times New Roman" w:hAnsi="Times New Roman" w:cs="Times New Roman"/>
          <w:lang w:val="en-US"/>
        </w:rPr>
        <w:t xml:space="preserve"> and</w:t>
      </w:r>
      <w:r w:rsidR="00AA0B36">
        <w:rPr>
          <w:rFonts w:ascii="Times New Roman" w:hAnsi="Times New Roman" w:cs="Times New Roman"/>
          <w:lang w:val="en-US"/>
        </w:rPr>
        <w:t xml:space="preserve"> </w:t>
      </w:r>
      <w:r w:rsidR="002F1542">
        <w:rPr>
          <w:rFonts w:ascii="Times New Roman" w:hAnsi="Times New Roman" w:cs="Times New Roman"/>
          <w:lang w:val="en-US"/>
        </w:rPr>
        <w:t>p</w:t>
      </w:r>
      <w:r w:rsidR="00AA0B36">
        <w:rPr>
          <w:rFonts w:ascii="Times New Roman" w:hAnsi="Times New Roman" w:cs="Times New Roman"/>
          <w:lang w:val="en-US"/>
        </w:rPr>
        <w:t>lease do not change the margins</w:t>
      </w:r>
      <w:r w:rsidR="00767518">
        <w:rPr>
          <w:rFonts w:ascii="Times New Roman" w:hAnsi="Times New Roman" w:cs="Times New Roman"/>
          <w:lang w:val="en-US"/>
        </w:rPr>
        <w:t xml:space="preserve"> (+/- 1.78</w:t>
      </w:r>
      <w:r w:rsidR="00892BA6">
        <w:rPr>
          <w:rFonts w:ascii="Times New Roman" w:hAnsi="Times New Roman" w:cs="Times New Roman"/>
          <w:lang w:val="en-US"/>
        </w:rPr>
        <w:t xml:space="preserve"> cm</w:t>
      </w:r>
      <w:r w:rsidR="00767518">
        <w:rPr>
          <w:rFonts w:ascii="Times New Roman" w:hAnsi="Times New Roman" w:cs="Times New Roman"/>
          <w:lang w:val="en-US"/>
        </w:rPr>
        <w:t xml:space="preserve"> left</w:t>
      </w:r>
      <w:r w:rsidR="00892BA6">
        <w:rPr>
          <w:rFonts w:ascii="Times New Roman" w:hAnsi="Times New Roman" w:cs="Times New Roman"/>
          <w:lang w:val="en-US"/>
        </w:rPr>
        <w:t xml:space="preserve"> &amp; </w:t>
      </w:r>
      <w:r w:rsidR="00767518">
        <w:rPr>
          <w:rFonts w:ascii="Times New Roman" w:hAnsi="Times New Roman" w:cs="Times New Roman"/>
          <w:lang w:val="en-US"/>
        </w:rPr>
        <w:t>right, +/- 1.94</w:t>
      </w:r>
      <w:r w:rsidR="00892BA6">
        <w:rPr>
          <w:rFonts w:ascii="Times New Roman" w:hAnsi="Times New Roman" w:cs="Times New Roman"/>
          <w:lang w:val="en-US"/>
        </w:rPr>
        <w:t xml:space="preserve"> cm</w:t>
      </w:r>
      <w:r w:rsidR="00767518">
        <w:rPr>
          <w:rFonts w:ascii="Times New Roman" w:hAnsi="Times New Roman" w:cs="Times New Roman"/>
          <w:lang w:val="en-US"/>
        </w:rPr>
        <w:t xml:space="preserve"> upper</w:t>
      </w:r>
      <w:r w:rsidR="00892BA6">
        <w:rPr>
          <w:rFonts w:ascii="Times New Roman" w:hAnsi="Times New Roman" w:cs="Times New Roman"/>
          <w:lang w:val="en-US"/>
        </w:rPr>
        <w:t xml:space="preserve"> &amp; </w:t>
      </w:r>
      <w:r w:rsidR="00767518">
        <w:rPr>
          <w:rFonts w:ascii="Times New Roman" w:hAnsi="Times New Roman" w:cs="Times New Roman"/>
          <w:lang w:val="en-US"/>
        </w:rPr>
        <w:t>lower)</w:t>
      </w:r>
      <w:r w:rsidR="000765F6" w:rsidRPr="000765F6">
        <w:rPr>
          <w:rFonts w:ascii="Times New Roman" w:hAnsi="Times New Roman" w:cs="Times New Roman"/>
          <w:lang w:val="en-US"/>
        </w:rPr>
        <w:t>.</w:t>
      </w:r>
      <w:r w:rsidR="00892BA6">
        <w:rPr>
          <w:rFonts w:ascii="Times New Roman" w:hAnsi="Times New Roman" w:cs="Times New Roman"/>
          <w:lang w:val="en-US"/>
        </w:rPr>
        <w:t xml:space="preserve"> </w:t>
      </w:r>
    </w:p>
    <w:p w14:paraId="3F86B313" w14:textId="77777777" w:rsidR="00892BA6" w:rsidRDefault="00892BA6" w:rsidP="000765F6">
      <w:pPr>
        <w:pStyle w:val="KeinLeerraum"/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48C7FC25" w14:textId="0A0A75BD" w:rsidR="003C55DB" w:rsidRDefault="000765F6" w:rsidP="000765F6">
      <w:pPr>
        <w:pStyle w:val="KeinLeerraum"/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0765F6">
        <w:rPr>
          <w:rFonts w:ascii="Times New Roman" w:hAnsi="Times New Roman" w:cs="Times New Roman"/>
          <w:lang w:val="en-US"/>
        </w:rPr>
        <w:t xml:space="preserve">Furthermore, </w:t>
      </w:r>
      <w:r w:rsidR="00892BA6" w:rsidRPr="000765F6">
        <w:rPr>
          <w:rFonts w:ascii="Times New Roman" w:hAnsi="Times New Roman" w:cs="Times New Roman"/>
          <w:lang w:val="en-US"/>
        </w:rPr>
        <w:t xml:space="preserve">for your abstract </w:t>
      </w:r>
      <w:r w:rsidRPr="000765F6">
        <w:rPr>
          <w:rFonts w:ascii="Times New Roman" w:hAnsi="Times New Roman" w:cs="Times New Roman"/>
          <w:lang w:val="en-US"/>
        </w:rPr>
        <w:t xml:space="preserve">please choose </w:t>
      </w:r>
      <w:r w:rsidR="00892BA6" w:rsidRPr="00892BA6">
        <w:rPr>
          <w:rFonts w:ascii="Times New Roman" w:hAnsi="Times New Roman" w:cs="Times New Roman"/>
          <w:lang w:val="en-US"/>
        </w:rPr>
        <w:t>your</w:t>
      </w:r>
      <w:r w:rsidR="00892BA6">
        <w:rPr>
          <w:rFonts w:ascii="Times New Roman" w:hAnsi="Times New Roman" w:cs="Times New Roman"/>
          <w:i/>
          <w:lang w:val="en-US"/>
        </w:rPr>
        <w:t xml:space="preserve"> </w:t>
      </w:r>
      <w:r w:rsidR="00892BA6">
        <w:rPr>
          <w:rFonts w:ascii="Times New Roman" w:hAnsi="Times New Roman" w:cs="Times New Roman"/>
          <w:lang w:val="en-US"/>
        </w:rPr>
        <w:t xml:space="preserve">presentation </w:t>
      </w:r>
      <w:r w:rsidR="00892BA6">
        <w:rPr>
          <w:rFonts w:ascii="Times New Roman" w:hAnsi="Times New Roman" w:cs="Times New Roman"/>
          <w:lang w:val="en-US"/>
        </w:rPr>
        <w:t xml:space="preserve">and scientific </w:t>
      </w:r>
      <w:r w:rsidRPr="000765F6">
        <w:rPr>
          <w:rFonts w:ascii="Times New Roman" w:hAnsi="Times New Roman" w:cs="Times New Roman"/>
          <w:lang w:val="en-US"/>
        </w:rPr>
        <w:t>categor</w:t>
      </w:r>
      <w:r w:rsidR="00892BA6">
        <w:rPr>
          <w:rFonts w:ascii="Times New Roman" w:hAnsi="Times New Roman" w:cs="Times New Roman"/>
          <w:lang w:val="en-US"/>
        </w:rPr>
        <w:t xml:space="preserve">ies </w:t>
      </w:r>
      <w:r w:rsidR="00892BA6" w:rsidRPr="000765F6">
        <w:rPr>
          <w:rFonts w:ascii="Times New Roman" w:hAnsi="Times New Roman" w:cs="Times New Roman"/>
          <w:lang w:val="en-US"/>
        </w:rPr>
        <w:t xml:space="preserve">by clicking on the </w:t>
      </w:r>
      <w:r w:rsidR="00892BA6">
        <w:rPr>
          <w:rFonts w:ascii="Times New Roman" w:hAnsi="Times New Roman" w:cs="Times New Roman"/>
          <w:lang w:val="en-US"/>
        </w:rPr>
        <w:t xml:space="preserve">respective </w:t>
      </w:r>
      <w:r w:rsidR="00892BA6" w:rsidRPr="000765F6">
        <w:rPr>
          <w:rFonts w:ascii="Times New Roman" w:hAnsi="Times New Roman" w:cs="Times New Roman"/>
          <w:lang w:val="en-US"/>
        </w:rPr>
        <w:t>checkbox</w:t>
      </w:r>
      <w:r w:rsidR="00892BA6">
        <w:rPr>
          <w:rFonts w:ascii="Times New Roman" w:hAnsi="Times New Roman" w:cs="Times New Roman"/>
          <w:lang w:val="en-US"/>
        </w:rPr>
        <w:t xml:space="preserve">es: </w:t>
      </w:r>
    </w:p>
    <w:p w14:paraId="36786BDA" w14:textId="77777777" w:rsidR="00892BA6" w:rsidRDefault="00892BA6" w:rsidP="000765F6">
      <w:pPr>
        <w:pStyle w:val="KeinLeerraum"/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452BD098" w14:textId="0BDA9AA5" w:rsidR="003C55DB" w:rsidRPr="00892BA6" w:rsidRDefault="003C55DB" w:rsidP="00892BA6">
      <w:pPr>
        <w:pStyle w:val="KeinLeerraum"/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en-GB" w:eastAsia="de-DE"/>
        </w:rPr>
      </w:pPr>
      <w:r w:rsidRPr="00892BA6">
        <w:rPr>
          <w:rFonts w:ascii="Times New Roman" w:eastAsia="Times New Roman" w:hAnsi="Times New Roman" w:cs="Times New Roman"/>
          <w:b/>
          <w:color w:val="000000"/>
          <w:lang w:val="en-GB" w:eastAsia="de-DE"/>
        </w:rPr>
        <w:t>Presentation categories</w:t>
      </w:r>
      <w:r w:rsidR="00892BA6">
        <w:rPr>
          <w:rFonts w:ascii="Times New Roman" w:eastAsia="Times New Roman" w:hAnsi="Times New Roman" w:cs="Times New Roman"/>
          <w:b/>
          <w:color w:val="000000"/>
          <w:lang w:val="en-GB" w:eastAsia="de-DE"/>
        </w:rPr>
        <w:t xml:space="preserve"> </w:t>
      </w:r>
      <w:r w:rsidR="00892BA6">
        <w:rPr>
          <w:rFonts w:ascii="Times New Roman" w:eastAsia="Times New Roman" w:hAnsi="Times New Roman" w:cs="Times New Roman"/>
          <w:color w:val="000000"/>
          <w:lang w:val="en-GB" w:eastAsia="de-DE"/>
        </w:rPr>
        <w:t>(1 option</w:t>
      </w:r>
      <w:r w:rsidR="00892BA6" w:rsidRPr="00892BA6">
        <w:rPr>
          <w:rFonts w:ascii="Times New Roman" w:eastAsia="Times New Roman" w:hAnsi="Times New Roman" w:cs="Times New Roman"/>
          <w:color w:val="000000"/>
          <w:lang w:val="en-GB" w:eastAsia="de-DE"/>
        </w:rPr>
        <w:t xml:space="preserve"> </w:t>
      </w:r>
      <w:r w:rsidR="00892BA6">
        <w:rPr>
          <w:rFonts w:ascii="Times New Roman" w:eastAsia="Times New Roman" w:hAnsi="Times New Roman" w:cs="Times New Roman"/>
          <w:color w:val="000000"/>
          <w:lang w:val="en-GB" w:eastAsia="de-DE"/>
        </w:rPr>
        <w:t>only</w:t>
      </w:r>
      <w:r w:rsidR="00892BA6">
        <w:rPr>
          <w:rFonts w:ascii="Times New Roman" w:eastAsia="Times New Roman" w:hAnsi="Times New Roman" w:cs="Times New Roman"/>
          <w:color w:val="000000"/>
          <w:lang w:val="en-GB" w:eastAsia="de-DE"/>
        </w:rPr>
        <w:t>)</w:t>
      </w:r>
    </w:p>
    <w:p w14:paraId="3CEE413E" w14:textId="52A94B71" w:rsidR="003C55DB" w:rsidRPr="000765F6" w:rsidRDefault="003C55DB" w:rsidP="003C55DB">
      <w:pPr>
        <w:pStyle w:val="KeinLeerraum"/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val="en-GB" w:eastAsia="de-DE"/>
        </w:rPr>
      </w:pPr>
      <w:r>
        <w:rPr>
          <w:rFonts w:ascii="Times New Roman" w:eastAsia="Times New Roman" w:hAnsi="Times New Roman" w:cs="Times New Roman"/>
          <w:color w:val="000000"/>
          <w:lang w:val="en-GB" w:eastAsia="de-DE"/>
        </w:rPr>
        <w:t>Poster</w:t>
      </w:r>
      <w:r w:rsidRPr="000765F6">
        <w:rPr>
          <w:rFonts w:ascii="Times New Roman" w:eastAsia="Times New Roman" w:hAnsi="Times New Roman" w:cs="Times New Roman"/>
          <w:color w:val="000000"/>
          <w:lang w:val="en-GB" w:eastAsia="de-DE"/>
        </w:rPr>
        <w:tab/>
      </w:r>
      <w:r>
        <w:rPr>
          <w:rFonts w:ascii="Times New Roman" w:eastAsia="Times New Roman" w:hAnsi="Times New Roman" w:cs="Times New Roman"/>
          <w:color w:val="000000"/>
          <w:lang w:val="en-GB" w:eastAsia="de-DE"/>
        </w:rPr>
        <w:tab/>
      </w:r>
      <w:r w:rsidRPr="000765F6">
        <w:rPr>
          <w:rFonts w:ascii="Times New Roman" w:eastAsia="Times New Roman" w:hAnsi="Times New Roman" w:cs="Times New Roman"/>
          <w:color w:val="000000"/>
          <w:lang w:val="en-GB" w:eastAsia="de-DE"/>
        </w:rPr>
        <w:tab/>
      </w:r>
      <w:r w:rsidRPr="000765F6">
        <w:rPr>
          <w:rFonts w:ascii="Times New Roman" w:eastAsia="Times New Roman" w:hAnsi="Times New Roman" w:cs="Times New Roman"/>
          <w:color w:val="000000"/>
          <w:lang w:val="en-GB" w:eastAsia="de-DE"/>
        </w:rPr>
        <w:tab/>
      </w:r>
      <w:sdt>
        <w:sdtPr>
          <w:rPr>
            <w:rFonts w:ascii="Times New Roman" w:eastAsia="Times New Roman" w:hAnsi="Times New Roman" w:cs="Times New Roman"/>
            <w:color w:val="000000"/>
            <w:lang w:val="en-GB" w:eastAsia="de-DE"/>
          </w:rPr>
          <w:id w:val="-1560478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65F6">
            <w:rPr>
              <w:rFonts w:ascii="Segoe UI Symbol" w:eastAsia="MS Gothic" w:hAnsi="Segoe UI Symbol" w:cs="Segoe UI Symbol"/>
              <w:color w:val="000000"/>
              <w:lang w:val="en-GB" w:eastAsia="de-DE"/>
            </w:rPr>
            <w:t>☐</w:t>
          </w:r>
        </w:sdtContent>
      </w:sdt>
    </w:p>
    <w:p w14:paraId="1B49C230" w14:textId="04C6D130" w:rsidR="003C55DB" w:rsidRPr="000765F6" w:rsidRDefault="003C55DB" w:rsidP="003C55DB">
      <w:pPr>
        <w:spacing w:line="276" w:lineRule="auto"/>
        <w:rPr>
          <w:rFonts w:eastAsia="Times New Roman" w:cs="Times New Roman"/>
          <w:color w:val="000000"/>
          <w:lang w:val="en-GB" w:eastAsia="de-DE"/>
        </w:rPr>
      </w:pPr>
      <w:r>
        <w:rPr>
          <w:rFonts w:eastAsia="Times New Roman" w:cs="Times New Roman"/>
          <w:color w:val="000000"/>
          <w:lang w:val="en-GB" w:eastAsia="de-DE"/>
        </w:rPr>
        <w:t>Oral presentation</w:t>
      </w:r>
      <w:r>
        <w:rPr>
          <w:rFonts w:eastAsia="Times New Roman" w:cs="Times New Roman"/>
          <w:color w:val="000000"/>
          <w:lang w:val="en-GB" w:eastAsia="de-DE"/>
        </w:rPr>
        <w:tab/>
      </w:r>
      <w:r w:rsidRPr="000765F6">
        <w:rPr>
          <w:rFonts w:eastAsia="Times New Roman" w:cs="Times New Roman"/>
          <w:color w:val="000000"/>
          <w:lang w:val="en-GB" w:eastAsia="de-DE"/>
        </w:rPr>
        <w:tab/>
      </w:r>
      <w:sdt>
        <w:sdtPr>
          <w:rPr>
            <w:rFonts w:eastAsia="Times New Roman" w:cs="Times New Roman"/>
            <w:color w:val="000000"/>
            <w:lang w:val="en-GB" w:eastAsia="de-DE"/>
          </w:rPr>
          <w:id w:val="983976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65F6">
            <w:rPr>
              <w:rFonts w:ascii="Segoe UI Symbol" w:eastAsia="MS Gothic" w:hAnsi="Segoe UI Symbol" w:cs="Segoe UI Symbol"/>
              <w:color w:val="000000"/>
              <w:lang w:val="en-GB" w:eastAsia="de-DE"/>
            </w:rPr>
            <w:t>☐</w:t>
          </w:r>
        </w:sdtContent>
      </w:sdt>
    </w:p>
    <w:p w14:paraId="77AB7D08" w14:textId="1135A937" w:rsidR="003C55DB" w:rsidRPr="000765F6" w:rsidRDefault="003C55DB" w:rsidP="003C55DB">
      <w:pPr>
        <w:spacing w:line="276" w:lineRule="auto"/>
        <w:rPr>
          <w:rFonts w:eastAsia="Times New Roman" w:cs="Times New Roman"/>
          <w:color w:val="000000"/>
          <w:lang w:val="en-GB" w:eastAsia="de-DE"/>
        </w:rPr>
      </w:pPr>
      <w:r>
        <w:rPr>
          <w:rFonts w:eastAsia="Times New Roman" w:cs="Times New Roman"/>
          <w:color w:val="000000"/>
          <w:lang w:val="en-GB" w:eastAsia="de-DE"/>
        </w:rPr>
        <w:t>Either</w:t>
      </w:r>
      <w:r w:rsidRPr="000765F6">
        <w:rPr>
          <w:rFonts w:eastAsia="Times New Roman" w:cs="Times New Roman"/>
          <w:color w:val="000000"/>
          <w:lang w:val="en-GB" w:eastAsia="de-DE"/>
        </w:rPr>
        <w:tab/>
      </w:r>
      <w:r w:rsidRPr="000765F6">
        <w:rPr>
          <w:rFonts w:eastAsia="Times New Roman" w:cs="Times New Roman"/>
          <w:color w:val="000000"/>
          <w:lang w:val="en-GB" w:eastAsia="de-DE"/>
        </w:rPr>
        <w:tab/>
      </w:r>
      <w:r w:rsidRPr="000765F6">
        <w:rPr>
          <w:rFonts w:eastAsia="Times New Roman" w:cs="Times New Roman"/>
          <w:color w:val="000000"/>
          <w:lang w:val="en-GB" w:eastAsia="de-DE"/>
        </w:rPr>
        <w:tab/>
      </w:r>
      <w:r w:rsidRPr="000765F6">
        <w:rPr>
          <w:rFonts w:eastAsia="Times New Roman" w:cs="Times New Roman"/>
          <w:color w:val="000000"/>
          <w:lang w:val="en-GB" w:eastAsia="de-DE"/>
        </w:rPr>
        <w:tab/>
      </w:r>
      <w:sdt>
        <w:sdtPr>
          <w:rPr>
            <w:rFonts w:eastAsia="Times New Roman" w:cs="Times New Roman"/>
            <w:color w:val="000000"/>
            <w:lang w:val="en-GB" w:eastAsia="de-DE"/>
          </w:rPr>
          <w:id w:val="-1488698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65F6">
            <w:rPr>
              <w:rFonts w:ascii="Segoe UI Symbol" w:eastAsia="MS Gothic" w:hAnsi="Segoe UI Symbol" w:cs="Segoe UI Symbol"/>
              <w:color w:val="000000"/>
              <w:lang w:val="en-GB" w:eastAsia="de-DE"/>
            </w:rPr>
            <w:t>☐</w:t>
          </w:r>
        </w:sdtContent>
      </w:sdt>
    </w:p>
    <w:p w14:paraId="77B8C123" w14:textId="77777777" w:rsidR="003C55DB" w:rsidRPr="000765F6" w:rsidRDefault="003C55DB" w:rsidP="000765F6">
      <w:pPr>
        <w:pStyle w:val="KeinLeerraum"/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70A07762" w14:textId="162E2459" w:rsidR="000765F6" w:rsidRPr="000765F6" w:rsidRDefault="000765F6" w:rsidP="000765F6">
      <w:pPr>
        <w:spacing w:line="240" w:lineRule="auto"/>
        <w:rPr>
          <w:rFonts w:cs="Times New Roman"/>
          <w:sz w:val="20"/>
          <w:szCs w:val="20"/>
          <w:lang w:val="en-US"/>
        </w:rPr>
      </w:pPr>
    </w:p>
    <w:p w14:paraId="2B37D82B" w14:textId="513C09D2" w:rsidR="000765F6" w:rsidRPr="000765F6" w:rsidRDefault="003C55DB" w:rsidP="00892BA6">
      <w:pPr>
        <w:pStyle w:val="KeinLeerraum"/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en-GB" w:eastAsia="de-DE"/>
        </w:rPr>
      </w:pPr>
      <w:r w:rsidRPr="00892BA6">
        <w:rPr>
          <w:rFonts w:ascii="Times New Roman" w:eastAsia="Times New Roman" w:hAnsi="Times New Roman" w:cs="Times New Roman"/>
          <w:b/>
          <w:color w:val="000000"/>
          <w:lang w:val="en-GB" w:eastAsia="de-DE"/>
        </w:rPr>
        <w:t>Scientific c</w:t>
      </w:r>
      <w:r w:rsidR="000765F6" w:rsidRPr="00892BA6">
        <w:rPr>
          <w:rFonts w:ascii="Times New Roman" w:eastAsia="Times New Roman" w:hAnsi="Times New Roman" w:cs="Times New Roman"/>
          <w:b/>
          <w:color w:val="000000"/>
          <w:lang w:val="en-GB" w:eastAsia="de-DE"/>
        </w:rPr>
        <w:t>ategories</w:t>
      </w:r>
      <w:r w:rsidR="000C568E">
        <w:rPr>
          <w:rFonts w:ascii="Times New Roman" w:eastAsia="Times New Roman" w:hAnsi="Times New Roman" w:cs="Times New Roman"/>
          <w:color w:val="000000"/>
          <w:lang w:val="en-GB" w:eastAsia="de-DE"/>
        </w:rPr>
        <w:t xml:space="preserve"> (multiple options possible)</w:t>
      </w:r>
    </w:p>
    <w:p w14:paraId="186CC3D7" w14:textId="77777777" w:rsidR="000765F6" w:rsidRPr="000765F6" w:rsidRDefault="000765F6" w:rsidP="002F1542">
      <w:pPr>
        <w:pStyle w:val="KeinLeerraum"/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val="en-GB" w:eastAsia="de-DE"/>
        </w:rPr>
      </w:pPr>
      <w:r w:rsidRPr="000765F6">
        <w:rPr>
          <w:rFonts w:ascii="Times New Roman" w:eastAsia="Times New Roman" w:hAnsi="Times New Roman" w:cs="Times New Roman"/>
          <w:color w:val="000000"/>
          <w:lang w:val="en-GB" w:eastAsia="de-DE"/>
        </w:rPr>
        <w:t>Characterisation and optimisation of microdialysis technique</w:t>
      </w:r>
      <w:r w:rsidRPr="000765F6">
        <w:rPr>
          <w:rFonts w:ascii="Times New Roman" w:eastAsia="Times New Roman" w:hAnsi="Times New Roman" w:cs="Times New Roman"/>
          <w:color w:val="000000"/>
          <w:lang w:val="en-GB" w:eastAsia="de-DE"/>
        </w:rPr>
        <w:tab/>
      </w:r>
      <w:r w:rsidRPr="000765F6">
        <w:rPr>
          <w:rFonts w:ascii="Times New Roman" w:eastAsia="Times New Roman" w:hAnsi="Times New Roman" w:cs="Times New Roman"/>
          <w:color w:val="000000"/>
          <w:lang w:val="en-GB" w:eastAsia="de-DE"/>
        </w:rPr>
        <w:tab/>
      </w:r>
      <w:r w:rsidRPr="000765F6">
        <w:rPr>
          <w:rFonts w:ascii="Times New Roman" w:eastAsia="Times New Roman" w:hAnsi="Times New Roman" w:cs="Times New Roman"/>
          <w:color w:val="000000"/>
          <w:lang w:val="en-GB" w:eastAsia="de-DE"/>
        </w:rPr>
        <w:tab/>
      </w:r>
      <w:sdt>
        <w:sdtPr>
          <w:rPr>
            <w:rFonts w:ascii="Times New Roman" w:eastAsia="Times New Roman" w:hAnsi="Times New Roman" w:cs="Times New Roman"/>
            <w:color w:val="000000"/>
            <w:lang w:val="en-GB" w:eastAsia="de-DE"/>
          </w:rPr>
          <w:id w:val="1696191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65F6">
            <w:rPr>
              <w:rFonts w:ascii="Segoe UI Symbol" w:eastAsia="MS Gothic" w:hAnsi="Segoe UI Symbol" w:cs="Segoe UI Symbol"/>
              <w:color w:val="000000"/>
              <w:lang w:val="en-GB" w:eastAsia="de-DE"/>
            </w:rPr>
            <w:t>☐</w:t>
          </w:r>
        </w:sdtContent>
      </w:sdt>
    </w:p>
    <w:p w14:paraId="1FA1CDE6" w14:textId="3D7753E8" w:rsidR="000765F6" w:rsidRPr="000765F6" w:rsidRDefault="000765F6" w:rsidP="002F1542">
      <w:pPr>
        <w:spacing w:line="276" w:lineRule="auto"/>
        <w:rPr>
          <w:rFonts w:eastAsia="Times New Roman" w:cs="Times New Roman"/>
          <w:color w:val="000000"/>
          <w:lang w:val="en-GB" w:eastAsia="de-DE"/>
        </w:rPr>
      </w:pPr>
      <w:r w:rsidRPr="000765F6">
        <w:rPr>
          <w:rFonts w:eastAsia="Times New Roman" w:cs="Times New Roman"/>
          <w:color w:val="000000"/>
          <w:lang w:val="en-GB" w:eastAsia="de-DE"/>
        </w:rPr>
        <w:t>Development and optimisation of microdialysis during the disease state</w:t>
      </w:r>
      <w:r>
        <w:rPr>
          <w:rFonts w:eastAsia="Times New Roman" w:cs="Times New Roman"/>
          <w:color w:val="000000"/>
          <w:lang w:val="en-GB" w:eastAsia="de-DE"/>
        </w:rPr>
        <w:tab/>
      </w:r>
      <w:r w:rsidRPr="000765F6">
        <w:rPr>
          <w:rFonts w:eastAsia="Times New Roman" w:cs="Times New Roman"/>
          <w:color w:val="000000"/>
          <w:lang w:val="en-GB" w:eastAsia="de-DE"/>
        </w:rPr>
        <w:tab/>
      </w:r>
      <w:sdt>
        <w:sdtPr>
          <w:rPr>
            <w:rFonts w:eastAsia="Times New Roman" w:cs="Times New Roman"/>
            <w:color w:val="000000"/>
            <w:lang w:val="en-GB" w:eastAsia="de-DE"/>
          </w:rPr>
          <w:id w:val="205365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65F6">
            <w:rPr>
              <w:rFonts w:ascii="Segoe UI Symbol" w:eastAsia="MS Gothic" w:hAnsi="Segoe UI Symbol" w:cs="Segoe UI Symbol"/>
              <w:color w:val="000000"/>
              <w:lang w:val="en-GB" w:eastAsia="de-DE"/>
            </w:rPr>
            <w:t>☐</w:t>
          </w:r>
        </w:sdtContent>
      </w:sdt>
    </w:p>
    <w:p w14:paraId="1D64AC46" w14:textId="77777777" w:rsidR="000765F6" w:rsidRPr="000765F6" w:rsidRDefault="000765F6" w:rsidP="002F1542">
      <w:pPr>
        <w:spacing w:line="276" w:lineRule="auto"/>
        <w:rPr>
          <w:rFonts w:eastAsia="Times New Roman" w:cs="Times New Roman"/>
          <w:color w:val="000000"/>
          <w:lang w:val="en-GB" w:eastAsia="de-DE"/>
        </w:rPr>
      </w:pPr>
      <w:r w:rsidRPr="000765F6">
        <w:rPr>
          <w:rFonts w:eastAsia="Times New Roman" w:cs="Times New Roman"/>
          <w:color w:val="000000"/>
          <w:lang w:val="en-GB" w:eastAsia="de-DE"/>
        </w:rPr>
        <w:t>Microdialysis applications: the brain</w:t>
      </w:r>
      <w:r w:rsidRPr="000765F6">
        <w:rPr>
          <w:rFonts w:eastAsia="Times New Roman" w:cs="Times New Roman"/>
          <w:color w:val="000000"/>
          <w:lang w:val="en-GB" w:eastAsia="de-DE"/>
        </w:rPr>
        <w:tab/>
      </w:r>
      <w:r w:rsidRPr="000765F6">
        <w:rPr>
          <w:rFonts w:eastAsia="Times New Roman" w:cs="Times New Roman"/>
          <w:color w:val="000000"/>
          <w:lang w:val="en-GB" w:eastAsia="de-DE"/>
        </w:rPr>
        <w:tab/>
      </w:r>
      <w:r w:rsidRPr="000765F6">
        <w:rPr>
          <w:rFonts w:eastAsia="Times New Roman" w:cs="Times New Roman"/>
          <w:color w:val="000000"/>
          <w:lang w:val="en-GB" w:eastAsia="de-DE"/>
        </w:rPr>
        <w:tab/>
      </w:r>
      <w:r w:rsidRPr="000765F6">
        <w:rPr>
          <w:rFonts w:eastAsia="Times New Roman" w:cs="Times New Roman"/>
          <w:color w:val="000000"/>
          <w:lang w:val="en-GB" w:eastAsia="de-DE"/>
        </w:rPr>
        <w:tab/>
      </w:r>
      <w:r w:rsidRPr="000765F6">
        <w:rPr>
          <w:rFonts w:eastAsia="Times New Roman" w:cs="Times New Roman"/>
          <w:color w:val="000000"/>
          <w:lang w:val="en-GB" w:eastAsia="de-DE"/>
        </w:rPr>
        <w:tab/>
      </w:r>
      <w:r w:rsidRPr="000765F6">
        <w:rPr>
          <w:rFonts w:eastAsia="Times New Roman" w:cs="Times New Roman"/>
          <w:color w:val="000000"/>
          <w:lang w:val="en-GB" w:eastAsia="de-DE"/>
        </w:rPr>
        <w:tab/>
      </w:r>
      <w:sdt>
        <w:sdtPr>
          <w:rPr>
            <w:rFonts w:eastAsia="Times New Roman" w:cs="Times New Roman"/>
            <w:color w:val="000000"/>
            <w:lang w:val="en-GB" w:eastAsia="de-DE"/>
          </w:rPr>
          <w:id w:val="1948035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65F6">
            <w:rPr>
              <w:rFonts w:ascii="Segoe UI Symbol" w:eastAsia="MS Gothic" w:hAnsi="Segoe UI Symbol" w:cs="Segoe UI Symbol"/>
              <w:color w:val="000000"/>
              <w:lang w:val="en-GB" w:eastAsia="de-DE"/>
            </w:rPr>
            <w:t>☐</w:t>
          </w:r>
        </w:sdtContent>
      </w:sdt>
    </w:p>
    <w:p w14:paraId="3A31CA5A" w14:textId="77777777" w:rsidR="000765F6" w:rsidRPr="000765F6" w:rsidRDefault="000765F6" w:rsidP="002F1542">
      <w:pPr>
        <w:spacing w:line="276" w:lineRule="auto"/>
        <w:rPr>
          <w:rFonts w:eastAsia="Times New Roman" w:cs="Times New Roman"/>
          <w:color w:val="000000"/>
          <w:lang w:val="en-GB" w:eastAsia="de-DE"/>
        </w:rPr>
      </w:pPr>
      <w:r w:rsidRPr="000765F6">
        <w:rPr>
          <w:rFonts w:eastAsia="Times New Roman" w:cs="Times New Roman"/>
          <w:color w:val="000000"/>
          <w:lang w:val="en-GB" w:eastAsia="de-DE"/>
        </w:rPr>
        <w:t>Microdialysis applications: the lung</w:t>
      </w:r>
      <w:r w:rsidRPr="000765F6">
        <w:rPr>
          <w:rFonts w:eastAsia="Times New Roman" w:cs="Times New Roman"/>
          <w:color w:val="000000"/>
          <w:lang w:val="en-GB" w:eastAsia="de-DE"/>
        </w:rPr>
        <w:tab/>
      </w:r>
      <w:r w:rsidRPr="000765F6">
        <w:rPr>
          <w:rFonts w:eastAsia="Times New Roman" w:cs="Times New Roman"/>
          <w:color w:val="000000"/>
          <w:lang w:val="en-GB" w:eastAsia="de-DE"/>
        </w:rPr>
        <w:tab/>
      </w:r>
      <w:r w:rsidRPr="000765F6">
        <w:rPr>
          <w:rFonts w:eastAsia="Times New Roman" w:cs="Times New Roman"/>
          <w:color w:val="000000"/>
          <w:lang w:val="en-GB" w:eastAsia="de-DE"/>
        </w:rPr>
        <w:tab/>
      </w:r>
      <w:r w:rsidRPr="000765F6">
        <w:rPr>
          <w:rFonts w:eastAsia="Times New Roman" w:cs="Times New Roman"/>
          <w:color w:val="000000"/>
          <w:lang w:val="en-GB" w:eastAsia="de-DE"/>
        </w:rPr>
        <w:tab/>
      </w:r>
      <w:r w:rsidRPr="000765F6">
        <w:rPr>
          <w:rFonts w:eastAsia="Times New Roman" w:cs="Times New Roman"/>
          <w:color w:val="000000"/>
          <w:lang w:val="en-GB" w:eastAsia="de-DE"/>
        </w:rPr>
        <w:tab/>
      </w:r>
      <w:r w:rsidRPr="000765F6">
        <w:rPr>
          <w:rFonts w:eastAsia="Times New Roman" w:cs="Times New Roman"/>
          <w:color w:val="000000"/>
          <w:lang w:val="en-GB" w:eastAsia="de-DE"/>
        </w:rPr>
        <w:tab/>
      </w:r>
      <w:sdt>
        <w:sdtPr>
          <w:rPr>
            <w:rFonts w:eastAsia="Times New Roman" w:cs="Times New Roman"/>
            <w:color w:val="000000"/>
            <w:lang w:val="en-GB" w:eastAsia="de-DE"/>
          </w:rPr>
          <w:id w:val="310526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65F6">
            <w:rPr>
              <w:rFonts w:ascii="Segoe UI Symbol" w:eastAsia="MS Gothic" w:hAnsi="Segoe UI Symbol" w:cs="Segoe UI Symbol"/>
              <w:color w:val="000000"/>
              <w:lang w:val="en-GB" w:eastAsia="de-DE"/>
            </w:rPr>
            <w:t>☐</w:t>
          </w:r>
        </w:sdtContent>
      </w:sdt>
    </w:p>
    <w:p w14:paraId="232CBF21" w14:textId="77777777" w:rsidR="000765F6" w:rsidRPr="000765F6" w:rsidRDefault="000765F6" w:rsidP="002F1542">
      <w:pPr>
        <w:spacing w:line="276" w:lineRule="auto"/>
        <w:rPr>
          <w:rFonts w:eastAsia="Times New Roman" w:cs="Times New Roman"/>
          <w:color w:val="000000"/>
          <w:lang w:val="en-GB" w:eastAsia="de-DE"/>
        </w:rPr>
      </w:pPr>
      <w:r w:rsidRPr="000765F6">
        <w:rPr>
          <w:rFonts w:eastAsia="Times New Roman" w:cs="Times New Roman"/>
          <w:color w:val="000000"/>
          <w:lang w:val="en-GB" w:eastAsia="de-DE"/>
        </w:rPr>
        <w:t>Microdialysis of large molecules</w:t>
      </w:r>
      <w:r w:rsidRPr="000765F6">
        <w:rPr>
          <w:rFonts w:eastAsia="Times New Roman" w:cs="Times New Roman"/>
          <w:color w:val="000000"/>
          <w:lang w:val="en-GB" w:eastAsia="de-DE"/>
        </w:rPr>
        <w:tab/>
      </w:r>
      <w:r w:rsidRPr="000765F6">
        <w:rPr>
          <w:rFonts w:eastAsia="Times New Roman" w:cs="Times New Roman"/>
          <w:color w:val="000000"/>
          <w:lang w:val="en-GB" w:eastAsia="de-DE"/>
        </w:rPr>
        <w:tab/>
      </w:r>
      <w:r w:rsidRPr="000765F6">
        <w:rPr>
          <w:rFonts w:eastAsia="Times New Roman" w:cs="Times New Roman"/>
          <w:color w:val="000000"/>
          <w:lang w:val="en-GB" w:eastAsia="de-DE"/>
        </w:rPr>
        <w:tab/>
      </w:r>
      <w:r w:rsidRPr="000765F6">
        <w:rPr>
          <w:rFonts w:eastAsia="Times New Roman" w:cs="Times New Roman"/>
          <w:color w:val="000000"/>
          <w:lang w:val="en-GB" w:eastAsia="de-DE"/>
        </w:rPr>
        <w:tab/>
      </w:r>
      <w:r w:rsidRPr="000765F6">
        <w:rPr>
          <w:rFonts w:eastAsia="Times New Roman" w:cs="Times New Roman"/>
          <w:color w:val="000000"/>
          <w:lang w:val="en-GB" w:eastAsia="de-DE"/>
        </w:rPr>
        <w:tab/>
      </w:r>
      <w:r w:rsidRPr="000765F6">
        <w:rPr>
          <w:rFonts w:eastAsia="Times New Roman" w:cs="Times New Roman"/>
          <w:color w:val="000000"/>
          <w:lang w:val="en-GB" w:eastAsia="de-DE"/>
        </w:rPr>
        <w:tab/>
      </w:r>
      <w:sdt>
        <w:sdtPr>
          <w:rPr>
            <w:rFonts w:eastAsia="Times New Roman" w:cs="Times New Roman"/>
            <w:color w:val="000000"/>
            <w:lang w:val="en-GB" w:eastAsia="de-DE"/>
          </w:rPr>
          <w:id w:val="-12849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65F6">
            <w:rPr>
              <w:rFonts w:ascii="Segoe UI Symbol" w:eastAsia="MS Gothic" w:hAnsi="Segoe UI Symbol" w:cs="Segoe UI Symbol"/>
              <w:color w:val="000000"/>
              <w:lang w:val="en-GB" w:eastAsia="de-DE"/>
            </w:rPr>
            <w:t>☐</w:t>
          </w:r>
        </w:sdtContent>
      </w:sdt>
    </w:p>
    <w:p w14:paraId="06AD2611" w14:textId="77777777" w:rsidR="000765F6" w:rsidRPr="000765F6" w:rsidRDefault="000765F6" w:rsidP="002F1542">
      <w:pPr>
        <w:spacing w:line="276" w:lineRule="auto"/>
        <w:rPr>
          <w:rFonts w:eastAsia="Times New Roman" w:cs="Times New Roman"/>
          <w:color w:val="000000"/>
          <w:lang w:val="en-GB" w:eastAsia="de-DE"/>
        </w:rPr>
      </w:pPr>
      <w:r w:rsidRPr="000765F6">
        <w:rPr>
          <w:rFonts w:eastAsia="Times New Roman" w:cs="Times New Roman"/>
          <w:color w:val="000000"/>
          <w:lang w:val="en-GB" w:eastAsia="de-DE"/>
        </w:rPr>
        <w:t>Microdialysis in clinical practice: special populations</w:t>
      </w:r>
      <w:r w:rsidRPr="000765F6">
        <w:rPr>
          <w:rFonts w:eastAsia="Times New Roman" w:cs="Times New Roman"/>
          <w:color w:val="000000"/>
          <w:lang w:val="en-GB" w:eastAsia="de-DE"/>
        </w:rPr>
        <w:tab/>
      </w:r>
      <w:r w:rsidRPr="000765F6">
        <w:rPr>
          <w:rFonts w:eastAsia="Times New Roman" w:cs="Times New Roman"/>
          <w:color w:val="000000"/>
          <w:lang w:val="en-GB" w:eastAsia="de-DE"/>
        </w:rPr>
        <w:tab/>
      </w:r>
      <w:r w:rsidRPr="000765F6">
        <w:rPr>
          <w:rFonts w:eastAsia="Times New Roman" w:cs="Times New Roman"/>
          <w:color w:val="000000"/>
          <w:lang w:val="en-GB" w:eastAsia="de-DE"/>
        </w:rPr>
        <w:tab/>
      </w:r>
      <w:r w:rsidRPr="000765F6">
        <w:rPr>
          <w:rFonts w:eastAsia="Times New Roman" w:cs="Times New Roman"/>
          <w:color w:val="000000"/>
          <w:lang w:val="en-GB" w:eastAsia="de-DE"/>
        </w:rPr>
        <w:tab/>
      </w:r>
      <w:sdt>
        <w:sdtPr>
          <w:rPr>
            <w:rFonts w:eastAsia="Times New Roman" w:cs="Times New Roman"/>
            <w:color w:val="000000"/>
            <w:lang w:val="en-GB" w:eastAsia="de-DE"/>
          </w:rPr>
          <w:id w:val="-761607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65F6">
            <w:rPr>
              <w:rFonts w:ascii="Segoe UI Symbol" w:eastAsia="MS Gothic" w:hAnsi="Segoe UI Symbol" w:cs="Segoe UI Symbol"/>
              <w:color w:val="000000"/>
              <w:lang w:val="en-GB" w:eastAsia="de-DE"/>
            </w:rPr>
            <w:t>☐</w:t>
          </w:r>
        </w:sdtContent>
      </w:sdt>
    </w:p>
    <w:p w14:paraId="3B99FBD2" w14:textId="77777777" w:rsidR="000765F6" w:rsidRPr="000765F6" w:rsidRDefault="000765F6" w:rsidP="002F1542">
      <w:pPr>
        <w:spacing w:line="276" w:lineRule="auto"/>
        <w:rPr>
          <w:rFonts w:eastAsia="Times New Roman" w:cs="Times New Roman"/>
          <w:color w:val="000000"/>
          <w:lang w:val="en-GB" w:eastAsia="de-DE"/>
        </w:rPr>
      </w:pPr>
      <w:r w:rsidRPr="000765F6">
        <w:rPr>
          <w:rFonts w:eastAsia="Times New Roman" w:cs="Times New Roman"/>
          <w:color w:val="000000"/>
          <w:lang w:val="en-GB" w:eastAsia="de-DE"/>
        </w:rPr>
        <w:t>Modelling and simulation of microdialysis data</w:t>
      </w:r>
      <w:r w:rsidRPr="000765F6">
        <w:rPr>
          <w:rFonts w:eastAsia="Times New Roman" w:cs="Times New Roman"/>
          <w:color w:val="000000"/>
          <w:lang w:val="en-GB" w:eastAsia="de-DE"/>
        </w:rPr>
        <w:tab/>
      </w:r>
      <w:r w:rsidRPr="000765F6">
        <w:rPr>
          <w:rFonts w:eastAsia="Times New Roman" w:cs="Times New Roman"/>
          <w:color w:val="000000"/>
          <w:lang w:val="en-GB" w:eastAsia="de-DE"/>
        </w:rPr>
        <w:tab/>
      </w:r>
      <w:r w:rsidRPr="000765F6">
        <w:rPr>
          <w:rFonts w:eastAsia="Times New Roman" w:cs="Times New Roman"/>
          <w:color w:val="000000"/>
          <w:lang w:val="en-GB" w:eastAsia="de-DE"/>
        </w:rPr>
        <w:tab/>
      </w:r>
      <w:r w:rsidRPr="000765F6">
        <w:rPr>
          <w:rFonts w:eastAsia="Times New Roman" w:cs="Times New Roman"/>
          <w:color w:val="000000"/>
          <w:lang w:val="en-GB" w:eastAsia="de-DE"/>
        </w:rPr>
        <w:tab/>
      </w:r>
      <w:r w:rsidRPr="000765F6">
        <w:rPr>
          <w:rFonts w:eastAsia="Times New Roman" w:cs="Times New Roman"/>
          <w:color w:val="000000"/>
          <w:lang w:val="en-GB" w:eastAsia="de-DE"/>
        </w:rPr>
        <w:tab/>
      </w:r>
      <w:sdt>
        <w:sdtPr>
          <w:rPr>
            <w:rFonts w:eastAsia="Times New Roman" w:cs="Times New Roman"/>
            <w:color w:val="000000"/>
            <w:lang w:val="en-GB" w:eastAsia="de-DE"/>
          </w:rPr>
          <w:id w:val="-1753813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65F6">
            <w:rPr>
              <w:rFonts w:ascii="Segoe UI Symbol" w:eastAsia="MS Gothic" w:hAnsi="Segoe UI Symbol" w:cs="Segoe UI Symbol"/>
              <w:color w:val="000000"/>
              <w:lang w:val="en-GB" w:eastAsia="de-DE"/>
            </w:rPr>
            <w:t>☐</w:t>
          </w:r>
        </w:sdtContent>
      </w:sdt>
    </w:p>
    <w:p w14:paraId="1D5E701F" w14:textId="77777777" w:rsidR="000765F6" w:rsidRPr="000765F6" w:rsidRDefault="000765F6" w:rsidP="002F1542">
      <w:pPr>
        <w:spacing w:line="276" w:lineRule="auto"/>
        <w:rPr>
          <w:rFonts w:eastAsia="Times New Roman" w:cs="Times New Roman"/>
          <w:color w:val="000000"/>
          <w:lang w:val="en-GB" w:eastAsia="de-DE"/>
        </w:rPr>
      </w:pPr>
      <w:r w:rsidRPr="000765F6">
        <w:rPr>
          <w:rFonts w:eastAsia="Times New Roman" w:cs="Times New Roman"/>
          <w:color w:val="000000"/>
          <w:lang w:val="en-GB" w:eastAsia="de-DE"/>
        </w:rPr>
        <w:t>Acceptability and regulatory approval of microdialysis</w:t>
      </w:r>
      <w:r w:rsidRPr="000765F6">
        <w:rPr>
          <w:rFonts w:eastAsia="Times New Roman" w:cs="Times New Roman"/>
          <w:color w:val="000000"/>
          <w:lang w:val="en-GB" w:eastAsia="de-DE"/>
        </w:rPr>
        <w:tab/>
      </w:r>
      <w:r w:rsidRPr="000765F6">
        <w:rPr>
          <w:rFonts w:eastAsia="Times New Roman" w:cs="Times New Roman"/>
          <w:color w:val="000000"/>
          <w:lang w:val="en-GB" w:eastAsia="de-DE"/>
        </w:rPr>
        <w:tab/>
      </w:r>
      <w:r w:rsidRPr="000765F6">
        <w:rPr>
          <w:rFonts w:eastAsia="Times New Roman" w:cs="Times New Roman"/>
          <w:color w:val="000000"/>
          <w:lang w:val="en-GB" w:eastAsia="de-DE"/>
        </w:rPr>
        <w:tab/>
      </w:r>
      <w:r w:rsidRPr="000765F6">
        <w:rPr>
          <w:rFonts w:eastAsia="Times New Roman" w:cs="Times New Roman"/>
          <w:color w:val="000000"/>
          <w:lang w:val="en-GB" w:eastAsia="de-DE"/>
        </w:rPr>
        <w:tab/>
      </w:r>
      <w:sdt>
        <w:sdtPr>
          <w:rPr>
            <w:rFonts w:eastAsia="Times New Roman" w:cs="Times New Roman"/>
            <w:color w:val="000000"/>
            <w:lang w:val="en-GB" w:eastAsia="de-DE"/>
          </w:rPr>
          <w:id w:val="1473330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65F6">
            <w:rPr>
              <w:rFonts w:ascii="Segoe UI Symbol" w:eastAsia="MS Gothic" w:hAnsi="Segoe UI Symbol" w:cs="Segoe UI Symbol"/>
              <w:color w:val="000000"/>
              <w:lang w:val="en-GB" w:eastAsia="de-DE"/>
            </w:rPr>
            <w:t>☐</w:t>
          </w:r>
        </w:sdtContent>
      </w:sdt>
    </w:p>
    <w:p w14:paraId="4B001E04" w14:textId="77777777" w:rsidR="000765F6" w:rsidRPr="0060566A" w:rsidRDefault="000765F6" w:rsidP="000765F6">
      <w:pPr>
        <w:spacing w:line="276" w:lineRule="auto"/>
        <w:rPr>
          <w:rFonts w:ascii="Calibri" w:eastAsia="Times New Roman" w:hAnsi="Calibri" w:cs="Calibri"/>
          <w:color w:val="000000"/>
          <w:lang w:val="en-GB" w:eastAsia="de-DE"/>
        </w:rPr>
      </w:pPr>
    </w:p>
    <w:p w14:paraId="033534D1" w14:textId="77777777" w:rsidR="000765F6" w:rsidRPr="000765F6" w:rsidRDefault="000765F6" w:rsidP="000765F6">
      <w:pPr>
        <w:spacing w:line="240" w:lineRule="auto"/>
        <w:rPr>
          <w:rFonts w:cs="Times New Roman"/>
          <w:sz w:val="20"/>
          <w:szCs w:val="20"/>
          <w:lang w:val="en-GB"/>
        </w:rPr>
      </w:pPr>
    </w:p>
    <w:p w14:paraId="37001E67" w14:textId="25DACAD1" w:rsidR="007B444D" w:rsidRPr="00284F0C" w:rsidRDefault="000765F6" w:rsidP="000765F6">
      <w:pPr>
        <w:spacing w:line="240" w:lineRule="auto"/>
        <w:jc w:val="center"/>
        <w:rPr>
          <w:rFonts w:cs="Times New Roman"/>
          <w:sz w:val="20"/>
          <w:szCs w:val="20"/>
          <w:lang w:val="en-US"/>
        </w:rPr>
      </w:pPr>
      <w:r>
        <w:rPr>
          <w:rFonts w:cs="Times New Roman"/>
          <w:sz w:val="20"/>
          <w:szCs w:val="20"/>
          <w:lang w:val="en-US"/>
        </w:rPr>
        <w:br w:type="page"/>
      </w:r>
    </w:p>
    <w:p w14:paraId="0A5AFB66" w14:textId="7159E255" w:rsidR="00F26469" w:rsidRPr="00F26469" w:rsidRDefault="007A3462" w:rsidP="00F26469">
      <w:pPr>
        <w:spacing w:line="240" w:lineRule="auto"/>
        <w:jc w:val="center"/>
        <w:rPr>
          <w:rFonts w:cs="Times New Roman"/>
          <w:sz w:val="32"/>
          <w:szCs w:val="32"/>
          <w:lang w:val="en-US"/>
        </w:rPr>
      </w:pPr>
      <w:r w:rsidRPr="003814CD">
        <w:rPr>
          <w:rFonts w:cs="Times New Roman"/>
          <w:noProof/>
          <w:lang w:eastAsia="de-DE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1" layoutInCell="1" allowOverlap="1" wp14:anchorId="13D5D7C2" wp14:editId="7CF9AAA5">
                <wp:simplePos x="0" y="0"/>
                <wp:positionH relativeFrom="margin">
                  <wp:posOffset>-271145</wp:posOffset>
                </wp:positionH>
                <wp:positionV relativeFrom="margin">
                  <wp:align>top</wp:align>
                </wp:positionV>
                <wp:extent cx="6281928" cy="9326880"/>
                <wp:effectExtent l="0" t="0" r="2413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1928" cy="932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EAE3C" w14:textId="590488D6" w:rsidR="007A3462" w:rsidRPr="00892BA6" w:rsidRDefault="007A3462" w:rsidP="00892BA6">
                            <w:pPr>
                              <w:spacing w:line="240" w:lineRule="auto"/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92BA6">
                              <w:rPr>
                                <w:rFonts w:cs="Times New Roman"/>
                                <w:sz w:val="28"/>
                                <w:szCs w:val="28"/>
                                <w:lang w:val="en-US"/>
                              </w:rPr>
                              <w:t>Title of your abstract</w:t>
                            </w:r>
                          </w:p>
                          <w:p w14:paraId="74FE40B0" w14:textId="77777777" w:rsidR="00892BA6" w:rsidRDefault="00892BA6" w:rsidP="007A3462">
                            <w:pPr>
                              <w:pStyle w:val="KeinLeerraum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31CEFDE7" w14:textId="4E538410" w:rsidR="007A3462" w:rsidRPr="00874DE0" w:rsidRDefault="007A3462" w:rsidP="007A3462">
                            <w:pPr>
                              <w:pStyle w:val="KeinLeerraum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  <w:lang w:val="en-US"/>
                              </w:rPr>
                            </w:pPr>
                            <w:r w:rsidRPr="00874D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Presenting </w:t>
                            </w:r>
                            <w:proofErr w:type="spellStart"/>
                            <w:r w:rsidRPr="00874D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author</w:t>
                            </w:r>
                            <w:r w:rsidRPr="00874D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  <w:lang w:val="en-US"/>
                              </w:rPr>
                              <w:t>a</w:t>
                            </w:r>
                            <w:proofErr w:type="spellEnd"/>
                            <w:r w:rsidRPr="00874D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, second </w:t>
                            </w:r>
                            <w:proofErr w:type="spellStart"/>
                            <w:r w:rsidRPr="00874D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author</w:t>
                            </w:r>
                            <w:r w:rsidRPr="00874D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  <w:lang w:val="en-US"/>
                              </w:rPr>
                              <w:t>b</w:t>
                            </w:r>
                            <w:proofErr w:type="spellEnd"/>
                            <w:r w:rsidRPr="00874D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, …., last </w:t>
                            </w:r>
                            <w:proofErr w:type="spellStart"/>
                            <w:r w:rsidRPr="00874D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author</w:t>
                            </w:r>
                            <w:r w:rsidRPr="00874D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  <w:lang w:val="en-US"/>
                              </w:rPr>
                              <w:t>c</w:t>
                            </w:r>
                            <w:proofErr w:type="spellEnd"/>
                          </w:p>
                          <w:p w14:paraId="6CEF530B" w14:textId="77777777" w:rsidR="007A3462" w:rsidRPr="00892BA6" w:rsidRDefault="007A3462" w:rsidP="007A3462">
                            <w:pPr>
                              <w:pStyle w:val="KeinLeerraum"/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  <w:vertAlign w:val="superscript"/>
                                <w:lang w:val="en-US"/>
                              </w:rPr>
                            </w:pPr>
                          </w:p>
                          <w:p w14:paraId="3451BBD1" w14:textId="2A922D62" w:rsidR="007A3462" w:rsidRPr="0026654D" w:rsidRDefault="007A3462" w:rsidP="00885F38">
                            <w:pPr>
                              <w:pStyle w:val="KeinLeerraum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874DE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  <w:t>a</w:t>
                            </w:r>
                            <w:r w:rsidR="00885F3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  <w:t xml:space="preserve"> </w:t>
                            </w:r>
                            <w:r w:rsidRPr="00874DE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Name of department</w:t>
                            </w:r>
                            <w:r w:rsidR="0026654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r w:rsidR="00892BA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institute, </w:t>
                            </w:r>
                            <w:r w:rsidR="0026654D" w:rsidRPr="0026654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GB"/>
                              </w:rPr>
                              <w:t>organisation, country</w:t>
                            </w:r>
                          </w:p>
                          <w:p w14:paraId="3E9F0D47" w14:textId="71A46690" w:rsidR="007A3462" w:rsidRPr="0026654D" w:rsidRDefault="007A3462" w:rsidP="00885F38">
                            <w:pPr>
                              <w:pStyle w:val="KeinLeerraum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26654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  <w:lang w:val="en-GB"/>
                              </w:rPr>
                              <w:t>b</w:t>
                            </w:r>
                            <w:r w:rsidR="00885F38" w:rsidRPr="0026654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  <w:lang w:val="en-GB"/>
                              </w:rPr>
                              <w:t xml:space="preserve"> </w:t>
                            </w:r>
                            <w:r w:rsidRPr="0026654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GB"/>
                              </w:rPr>
                              <w:t>Name of department</w:t>
                            </w:r>
                            <w:r w:rsidR="0026654D" w:rsidRPr="0026654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GB"/>
                              </w:rPr>
                              <w:t xml:space="preserve">, </w:t>
                            </w:r>
                            <w:r w:rsidR="00892BA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institute, </w:t>
                            </w:r>
                            <w:r w:rsidR="0026654D" w:rsidRPr="0026654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GB"/>
                              </w:rPr>
                              <w:t>organi</w:t>
                            </w:r>
                            <w:r w:rsidR="0026654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GB"/>
                              </w:rPr>
                              <w:t>s</w:t>
                            </w:r>
                            <w:r w:rsidR="0026654D" w:rsidRPr="0026654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GB"/>
                              </w:rPr>
                              <w:t>ation, country</w:t>
                            </w:r>
                          </w:p>
                          <w:p w14:paraId="3A3CD072" w14:textId="4AFF8BA9" w:rsidR="007A3462" w:rsidRPr="00892BA6" w:rsidRDefault="007A3462" w:rsidP="00892BA6">
                            <w:pPr>
                              <w:pStyle w:val="KeinLeerraum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6654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  <w:lang w:val="en-GB"/>
                              </w:rPr>
                              <w:t>c</w:t>
                            </w:r>
                            <w:r w:rsidR="00885F38" w:rsidRPr="0026654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  <w:lang w:val="en-GB"/>
                              </w:rPr>
                              <w:t xml:space="preserve"> </w:t>
                            </w:r>
                            <w:r w:rsidRPr="0026654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GB"/>
                              </w:rPr>
                              <w:t>Name of department</w:t>
                            </w:r>
                            <w:r w:rsidR="0026654D" w:rsidRPr="0026654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GB"/>
                              </w:rPr>
                              <w:t xml:space="preserve">, </w:t>
                            </w:r>
                            <w:r w:rsidR="00892BA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institute, </w:t>
                            </w:r>
                            <w:r w:rsidR="0026654D" w:rsidRPr="0026654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GB"/>
                              </w:rPr>
                              <w:t>organi</w:t>
                            </w:r>
                            <w:r w:rsidR="0026654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GB"/>
                              </w:rPr>
                              <w:t>s</w:t>
                            </w:r>
                            <w:r w:rsidR="0026654D" w:rsidRPr="0026654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GB"/>
                              </w:rPr>
                              <w:t>ation,</w:t>
                            </w:r>
                            <w:r w:rsidR="0026654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country</w:t>
                            </w:r>
                          </w:p>
                          <w:p w14:paraId="30AC7684" w14:textId="77777777" w:rsidR="00892BA6" w:rsidRPr="00284F0C" w:rsidRDefault="00892BA6" w:rsidP="00892BA6">
                            <w:pPr>
                              <w:pStyle w:val="KeinLeerraum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  <w:p w14:paraId="3569762A" w14:textId="77777777" w:rsidR="007A3462" w:rsidRPr="00D61247" w:rsidRDefault="007A3462" w:rsidP="007A3462">
                            <w:pPr>
                              <w:pStyle w:val="Sections"/>
                              <w:rPr>
                                <w:sz w:val="22"/>
                              </w:rPr>
                            </w:pPr>
                            <w:r w:rsidRPr="00D61247">
                              <w:rPr>
                                <w:sz w:val="22"/>
                              </w:rPr>
                              <w:t>Objectives:</w:t>
                            </w:r>
                          </w:p>
                          <w:p w14:paraId="29E70B31" w14:textId="4E25CC29" w:rsidR="007A3462" w:rsidRPr="007A3462" w:rsidRDefault="007A3462" w:rsidP="007A3462">
                            <w:pPr>
                              <w:pStyle w:val="Sections"/>
                              <w:rPr>
                                <w:b w:val="0"/>
                                <w:bCs/>
                                <w:sz w:val="22"/>
                              </w:rPr>
                            </w:pPr>
                          </w:p>
                          <w:p w14:paraId="1B162A52" w14:textId="3C625512" w:rsidR="007A3462" w:rsidRPr="007A3462" w:rsidRDefault="007A3462" w:rsidP="007A3462">
                            <w:pPr>
                              <w:pStyle w:val="Sections"/>
                              <w:rPr>
                                <w:b w:val="0"/>
                                <w:bCs/>
                                <w:sz w:val="22"/>
                              </w:rPr>
                            </w:pPr>
                          </w:p>
                          <w:p w14:paraId="23665FBE" w14:textId="3AE304E5" w:rsidR="007A3462" w:rsidRPr="007A3462" w:rsidRDefault="007A3462" w:rsidP="007A3462">
                            <w:pPr>
                              <w:pStyle w:val="Sections"/>
                              <w:rPr>
                                <w:b w:val="0"/>
                                <w:bCs/>
                                <w:sz w:val="22"/>
                              </w:rPr>
                            </w:pPr>
                          </w:p>
                          <w:p w14:paraId="323F893A" w14:textId="4A804D36" w:rsidR="007A3462" w:rsidRPr="007A3462" w:rsidRDefault="007A3462" w:rsidP="007A3462">
                            <w:pPr>
                              <w:pStyle w:val="Sections"/>
                              <w:rPr>
                                <w:b w:val="0"/>
                                <w:bCs/>
                                <w:sz w:val="22"/>
                              </w:rPr>
                            </w:pPr>
                          </w:p>
                          <w:p w14:paraId="371EF3F9" w14:textId="77777777" w:rsidR="007A3462" w:rsidRPr="007A3462" w:rsidRDefault="007A3462" w:rsidP="007A3462">
                            <w:pPr>
                              <w:pStyle w:val="Sections"/>
                              <w:rPr>
                                <w:b w:val="0"/>
                                <w:bCs/>
                                <w:sz w:val="22"/>
                              </w:rPr>
                            </w:pPr>
                          </w:p>
                          <w:p w14:paraId="5A50C2EF" w14:textId="77777777" w:rsidR="007A3462" w:rsidRPr="007A3462" w:rsidRDefault="007A3462" w:rsidP="007A3462">
                            <w:pPr>
                              <w:pStyle w:val="Sections"/>
                              <w:rPr>
                                <w:b w:val="0"/>
                                <w:bCs/>
                                <w:sz w:val="22"/>
                              </w:rPr>
                            </w:pPr>
                          </w:p>
                          <w:p w14:paraId="1FA519CA" w14:textId="77777777" w:rsidR="007A3462" w:rsidRPr="00D61247" w:rsidRDefault="007A3462" w:rsidP="007A3462">
                            <w:pPr>
                              <w:pStyle w:val="Sections"/>
                              <w:rPr>
                                <w:sz w:val="22"/>
                              </w:rPr>
                            </w:pPr>
                            <w:r w:rsidRPr="00D61247">
                              <w:rPr>
                                <w:sz w:val="22"/>
                              </w:rPr>
                              <w:t>Methods:</w:t>
                            </w:r>
                          </w:p>
                          <w:p w14:paraId="1BDB1CB2" w14:textId="67532197" w:rsidR="007A3462" w:rsidRPr="007A3462" w:rsidRDefault="007A3462" w:rsidP="007A3462">
                            <w:pPr>
                              <w:pStyle w:val="Sections"/>
                              <w:rPr>
                                <w:b w:val="0"/>
                                <w:bCs/>
                                <w:sz w:val="22"/>
                              </w:rPr>
                            </w:pPr>
                          </w:p>
                          <w:p w14:paraId="7B3C84BB" w14:textId="245701C3" w:rsidR="007A3462" w:rsidRPr="007A3462" w:rsidRDefault="007A3462" w:rsidP="007A3462">
                            <w:pPr>
                              <w:pStyle w:val="Sections"/>
                              <w:rPr>
                                <w:b w:val="0"/>
                                <w:bCs/>
                                <w:sz w:val="22"/>
                              </w:rPr>
                            </w:pPr>
                          </w:p>
                          <w:p w14:paraId="38EB61F8" w14:textId="391A2F8D" w:rsidR="007A3462" w:rsidRPr="007A3462" w:rsidRDefault="007A3462" w:rsidP="007A3462">
                            <w:pPr>
                              <w:pStyle w:val="Sections"/>
                              <w:rPr>
                                <w:b w:val="0"/>
                                <w:bCs/>
                                <w:sz w:val="22"/>
                              </w:rPr>
                            </w:pPr>
                          </w:p>
                          <w:p w14:paraId="3C9F0080" w14:textId="35549681" w:rsidR="007A3462" w:rsidRDefault="007A3462" w:rsidP="007A3462">
                            <w:pPr>
                              <w:pStyle w:val="Sections"/>
                              <w:rPr>
                                <w:b w:val="0"/>
                                <w:bCs/>
                                <w:sz w:val="22"/>
                              </w:rPr>
                            </w:pPr>
                          </w:p>
                          <w:p w14:paraId="091E9780" w14:textId="75A6CBA9" w:rsidR="00892BA6" w:rsidRDefault="00892BA6" w:rsidP="007A3462">
                            <w:pPr>
                              <w:pStyle w:val="Sections"/>
                              <w:rPr>
                                <w:b w:val="0"/>
                                <w:bCs/>
                                <w:sz w:val="22"/>
                              </w:rPr>
                            </w:pPr>
                          </w:p>
                          <w:p w14:paraId="1ADFFB26" w14:textId="77777777" w:rsidR="00892BA6" w:rsidRPr="007A3462" w:rsidRDefault="00892BA6" w:rsidP="007A3462">
                            <w:pPr>
                              <w:pStyle w:val="Sections"/>
                              <w:rPr>
                                <w:b w:val="0"/>
                                <w:bCs/>
                                <w:sz w:val="22"/>
                              </w:rPr>
                            </w:pPr>
                          </w:p>
                          <w:p w14:paraId="116D0760" w14:textId="77777777" w:rsidR="007A3462" w:rsidRPr="007A3462" w:rsidRDefault="007A3462" w:rsidP="007A3462">
                            <w:pPr>
                              <w:pStyle w:val="Sections"/>
                              <w:rPr>
                                <w:b w:val="0"/>
                                <w:bCs/>
                                <w:sz w:val="22"/>
                              </w:rPr>
                            </w:pPr>
                          </w:p>
                          <w:p w14:paraId="3FE8A8FD" w14:textId="77777777" w:rsidR="007A3462" w:rsidRPr="00D61247" w:rsidRDefault="007A3462" w:rsidP="007A3462">
                            <w:pPr>
                              <w:pStyle w:val="Sections"/>
                              <w:rPr>
                                <w:sz w:val="22"/>
                              </w:rPr>
                            </w:pPr>
                            <w:r w:rsidRPr="00D61247">
                              <w:rPr>
                                <w:sz w:val="22"/>
                              </w:rPr>
                              <w:t>Results:</w:t>
                            </w:r>
                          </w:p>
                          <w:p w14:paraId="5BA7C0F5" w14:textId="1EC0B642" w:rsidR="007A3462" w:rsidRPr="007A3462" w:rsidRDefault="007A3462" w:rsidP="007A3462">
                            <w:pPr>
                              <w:pStyle w:val="Sections"/>
                              <w:rPr>
                                <w:b w:val="0"/>
                                <w:bCs/>
                                <w:sz w:val="22"/>
                              </w:rPr>
                            </w:pPr>
                          </w:p>
                          <w:p w14:paraId="621CC749" w14:textId="7E336871" w:rsidR="007A3462" w:rsidRPr="007A3462" w:rsidRDefault="007A3462" w:rsidP="007A3462">
                            <w:pPr>
                              <w:pStyle w:val="Sections"/>
                              <w:rPr>
                                <w:b w:val="0"/>
                                <w:bCs/>
                                <w:sz w:val="22"/>
                              </w:rPr>
                            </w:pPr>
                          </w:p>
                          <w:p w14:paraId="153AB742" w14:textId="08950A5D" w:rsidR="007A3462" w:rsidRPr="007A3462" w:rsidRDefault="007A3462" w:rsidP="007A3462">
                            <w:pPr>
                              <w:pStyle w:val="Sections"/>
                              <w:rPr>
                                <w:b w:val="0"/>
                                <w:bCs/>
                                <w:sz w:val="22"/>
                              </w:rPr>
                            </w:pPr>
                          </w:p>
                          <w:p w14:paraId="58BB4BC7" w14:textId="77777777" w:rsidR="007A3462" w:rsidRPr="007A3462" w:rsidRDefault="007A3462" w:rsidP="007A3462">
                            <w:pPr>
                              <w:pStyle w:val="Sections"/>
                              <w:rPr>
                                <w:b w:val="0"/>
                                <w:bCs/>
                                <w:sz w:val="22"/>
                              </w:rPr>
                            </w:pPr>
                          </w:p>
                          <w:p w14:paraId="3B581AEE" w14:textId="3E0DF720" w:rsidR="007A3462" w:rsidRPr="007A3462" w:rsidRDefault="007A3462" w:rsidP="007A3462">
                            <w:pPr>
                              <w:pStyle w:val="Sections"/>
                              <w:rPr>
                                <w:b w:val="0"/>
                                <w:bCs/>
                                <w:sz w:val="22"/>
                              </w:rPr>
                            </w:pPr>
                          </w:p>
                          <w:p w14:paraId="38CE5839" w14:textId="5F1B5520" w:rsidR="007A3462" w:rsidRPr="007A3462" w:rsidRDefault="007A3462" w:rsidP="007A3462">
                            <w:pPr>
                              <w:pStyle w:val="Sections"/>
                              <w:rPr>
                                <w:b w:val="0"/>
                                <w:bCs/>
                                <w:sz w:val="22"/>
                              </w:rPr>
                            </w:pPr>
                          </w:p>
                          <w:p w14:paraId="369DA556" w14:textId="77777777" w:rsidR="007A3462" w:rsidRPr="007A3462" w:rsidRDefault="007A3462" w:rsidP="007A3462">
                            <w:pPr>
                              <w:pStyle w:val="Sections"/>
                              <w:rPr>
                                <w:b w:val="0"/>
                                <w:bCs/>
                                <w:sz w:val="22"/>
                              </w:rPr>
                            </w:pPr>
                          </w:p>
                          <w:p w14:paraId="4DA2690B" w14:textId="77777777" w:rsidR="007A3462" w:rsidRPr="00D61247" w:rsidRDefault="007A3462" w:rsidP="007A3462">
                            <w:pPr>
                              <w:pStyle w:val="Sections"/>
                              <w:rPr>
                                <w:sz w:val="22"/>
                              </w:rPr>
                            </w:pPr>
                            <w:r w:rsidRPr="00D61247">
                              <w:rPr>
                                <w:sz w:val="22"/>
                              </w:rPr>
                              <w:t>Conclusion:</w:t>
                            </w:r>
                          </w:p>
                          <w:p w14:paraId="6AA4B65E" w14:textId="58DC9F9E" w:rsidR="007A3462" w:rsidRDefault="007A3462" w:rsidP="007A3462">
                            <w:pPr>
                              <w:pStyle w:val="KeinLeerraum"/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</w:pPr>
                          </w:p>
                          <w:p w14:paraId="49232D76" w14:textId="3F6EE4E7" w:rsidR="007A3462" w:rsidRDefault="007A3462" w:rsidP="007A3462">
                            <w:pPr>
                              <w:pStyle w:val="KeinLeerraum"/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</w:pPr>
                          </w:p>
                          <w:p w14:paraId="1C505A85" w14:textId="77777777" w:rsidR="00892BA6" w:rsidRDefault="00892BA6" w:rsidP="007A3462">
                            <w:pPr>
                              <w:pStyle w:val="KeinLeerraum"/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</w:pPr>
                          </w:p>
                          <w:p w14:paraId="76C4FD39" w14:textId="77777777" w:rsidR="007A3462" w:rsidRDefault="007A3462" w:rsidP="007A3462">
                            <w:pPr>
                              <w:pStyle w:val="KeinLeerraum"/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</w:pPr>
                          </w:p>
                          <w:p w14:paraId="4BF51927" w14:textId="44F35D3E" w:rsidR="007A3462" w:rsidRDefault="007A3462" w:rsidP="007A3462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474CE951" w14:textId="6C9FA170" w:rsidR="00892BA6" w:rsidRDefault="00892BA6" w:rsidP="007A3462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43013DCC" w14:textId="77777777" w:rsidR="00892BA6" w:rsidRDefault="00892BA6" w:rsidP="007A3462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73013D1E" w14:textId="77777777" w:rsidR="00892BA6" w:rsidRDefault="00892BA6" w:rsidP="00892BA6">
                            <w:pPr>
                              <w:pStyle w:val="Sections"/>
                              <w:spacing w:line="240" w:lineRule="auto"/>
                              <w:jc w:val="left"/>
                              <w:rPr>
                                <w:bCs/>
                                <w:sz w:val="18"/>
                                <w:szCs w:val="20"/>
                              </w:rPr>
                            </w:pPr>
                          </w:p>
                          <w:p w14:paraId="00B972BC" w14:textId="660899CD" w:rsidR="00892BA6" w:rsidRPr="00892BA6" w:rsidRDefault="00892BA6" w:rsidP="00892BA6">
                            <w:pPr>
                              <w:pStyle w:val="Sections"/>
                              <w:spacing w:line="240" w:lineRule="auto"/>
                              <w:jc w:val="left"/>
                              <w:rPr>
                                <w:bCs/>
                                <w:sz w:val="18"/>
                                <w:szCs w:val="20"/>
                              </w:rPr>
                            </w:pPr>
                            <w:r w:rsidRPr="00892BA6">
                              <w:rPr>
                                <w:bCs/>
                                <w:sz w:val="18"/>
                                <w:szCs w:val="20"/>
                              </w:rPr>
                              <w:t>References:</w:t>
                            </w:r>
                          </w:p>
                          <w:p w14:paraId="657333BE" w14:textId="22FFBDE5" w:rsidR="00892BA6" w:rsidRPr="00892BA6" w:rsidRDefault="00892BA6" w:rsidP="00892BA6">
                            <w:pPr>
                              <w:pStyle w:val="Sections"/>
                              <w:spacing w:line="240" w:lineRule="auto"/>
                              <w:jc w:val="left"/>
                              <w:rPr>
                                <w:b w:val="0"/>
                                <w:bCs/>
                                <w:sz w:val="16"/>
                                <w:szCs w:val="20"/>
                              </w:rPr>
                            </w:pPr>
                            <w:r w:rsidRPr="00892BA6">
                              <w:rPr>
                                <w:b w:val="0"/>
                                <w:bCs/>
                                <w:sz w:val="16"/>
                                <w:szCs w:val="20"/>
                              </w:rPr>
                              <w:t xml:space="preserve">[1] A.B. Author. </w:t>
                            </w:r>
                            <w:r w:rsidRPr="00892BA6">
                              <w:rPr>
                                <w:b w:val="0"/>
                                <w:sz w:val="16"/>
                                <w:szCs w:val="16"/>
                                <w:lang w:val="en-GB"/>
                              </w:rPr>
                              <w:t>J</w:t>
                            </w:r>
                            <w:r>
                              <w:rPr>
                                <w:b w:val="0"/>
                                <w:sz w:val="16"/>
                                <w:szCs w:val="16"/>
                                <w:lang w:val="en-GB"/>
                              </w:rPr>
                              <w:t>.</w:t>
                            </w:r>
                            <w:r w:rsidRPr="00892BA6">
                              <w:rPr>
                                <w:b w:val="0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892BA6">
                              <w:rPr>
                                <w:b w:val="0"/>
                                <w:sz w:val="16"/>
                                <w:szCs w:val="16"/>
                                <w:lang w:val="en-GB"/>
                              </w:rPr>
                              <w:t>Antimicrob</w:t>
                            </w:r>
                            <w:proofErr w:type="spellEnd"/>
                            <w:r>
                              <w:rPr>
                                <w:b w:val="0"/>
                                <w:sz w:val="16"/>
                                <w:szCs w:val="16"/>
                                <w:lang w:val="en-GB"/>
                              </w:rPr>
                              <w:t>.</w:t>
                            </w:r>
                            <w:r w:rsidRPr="00892BA6">
                              <w:rPr>
                                <w:b w:val="0"/>
                                <w:sz w:val="16"/>
                                <w:szCs w:val="16"/>
                                <w:lang w:val="en-GB"/>
                              </w:rPr>
                              <w:t xml:space="preserve"> Chemother</w:t>
                            </w:r>
                            <w:r>
                              <w:rPr>
                                <w:b w:val="0"/>
                                <w:sz w:val="16"/>
                                <w:szCs w:val="16"/>
                                <w:lang w:val="en-GB"/>
                              </w:rPr>
                              <w:t>.</w:t>
                            </w:r>
                            <w:r w:rsidRPr="00892BA6">
                              <w:rPr>
                                <w:b w:val="0"/>
                                <w:bCs/>
                                <w:sz w:val="16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/>
                                <w:sz w:val="16"/>
                                <w:szCs w:val="20"/>
                              </w:rPr>
                              <w:t>76:</w:t>
                            </w:r>
                            <w:r w:rsidRPr="00892BA6">
                              <w:rPr>
                                <w:b w:val="0"/>
                                <w:bCs/>
                                <w:sz w:val="16"/>
                                <w:szCs w:val="20"/>
                              </w:rPr>
                              <w:t xml:space="preserve"> 12-18 (2013)</w:t>
                            </w:r>
                          </w:p>
                          <w:p w14:paraId="0F94E8A1" w14:textId="77777777" w:rsidR="00892BA6" w:rsidRPr="00892BA6" w:rsidRDefault="00892BA6" w:rsidP="00892BA6">
                            <w:pPr>
                              <w:pStyle w:val="Sections"/>
                              <w:spacing w:line="240" w:lineRule="auto"/>
                              <w:jc w:val="left"/>
                              <w:rPr>
                                <w:b w:val="0"/>
                                <w:bCs/>
                                <w:sz w:val="16"/>
                                <w:szCs w:val="20"/>
                              </w:rPr>
                            </w:pPr>
                            <w:r w:rsidRPr="00892BA6">
                              <w:rPr>
                                <w:b w:val="0"/>
                                <w:bCs/>
                                <w:sz w:val="16"/>
                                <w:szCs w:val="20"/>
                              </w:rPr>
                              <w:t xml:space="preserve">[2] W.X.Y. Writer. In: C. </w:t>
                            </w:r>
                            <w:proofErr w:type="spellStart"/>
                            <w:r w:rsidRPr="00892BA6">
                              <w:rPr>
                                <w:b w:val="0"/>
                                <w:bCs/>
                                <w:sz w:val="16"/>
                                <w:szCs w:val="20"/>
                              </w:rPr>
                              <w:t>Cordovil</w:t>
                            </w:r>
                            <w:proofErr w:type="spellEnd"/>
                            <w:r w:rsidRPr="00892BA6">
                              <w:rPr>
                                <w:b w:val="0"/>
                                <w:bCs/>
                                <w:sz w:val="16"/>
                                <w:szCs w:val="20"/>
                              </w:rPr>
                              <w:t xml:space="preserve"> et al. (eds.) Proceedings of the Workshop xxx. Lisbon/Portugal, 270-271 (2014)</w:t>
                            </w:r>
                          </w:p>
                          <w:p w14:paraId="31400981" w14:textId="4BB3B6D5" w:rsidR="00892BA6" w:rsidRPr="00892BA6" w:rsidRDefault="00892BA6" w:rsidP="00892BA6">
                            <w:pPr>
                              <w:pStyle w:val="Sections"/>
                              <w:spacing w:line="240" w:lineRule="auto"/>
                              <w:jc w:val="left"/>
                              <w:rPr>
                                <w:b w:val="0"/>
                                <w:bCs/>
                                <w:sz w:val="16"/>
                                <w:szCs w:val="20"/>
                              </w:rPr>
                            </w:pPr>
                            <w:r w:rsidRPr="00892BA6">
                              <w:rPr>
                                <w:b w:val="0"/>
                                <w:bCs/>
                                <w:sz w:val="16"/>
                                <w:szCs w:val="20"/>
                              </w:rPr>
                              <w:t>[3] A.B. Author (eds): Fundamentals of Antimicrobial Pharmacokinetics and Pharmacodynamics, Springer, Stuttgart/Germany, 2</w:t>
                            </w:r>
                            <w:r w:rsidRPr="00892BA6">
                              <w:rPr>
                                <w:b w:val="0"/>
                                <w:bCs/>
                                <w:sz w:val="16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892BA6">
                              <w:rPr>
                                <w:b w:val="0"/>
                                <w:bCs/>
                                <w:sz w:val="16"/>
                                <w:szCs w:val="20"/>
                              </w:rPr>
                              <w:t xml:space="preserve"> edition (2014)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D5D7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35pt;margin-top:0;width:494.65pt;height:734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">
                <v:textbox>
                  <w:txbxContent>
                    <w:p w14:paraId="18DEAE3C" w14:textId="590488D6" w:rsidR="007A3462" w:rsidRPr="00892BA6" w:rsidRDefault="007A3462" w:rsidP="00892BA6">
                      <w:pPr>
                        <w:spacing w:line="240" w:lineRule="auto"/>
                        <w:jc w:val="center"/>
                        <w:rPr>
                          <w:rFonts w:cs="Times New Roman"/>
                          <w:sz w:val="28"/>
                          <w:szCs w:val="28"/>
                          <w:lang w:val="en-US"/>
                        </w:rPr>
                      </w:pPr>
                      <w:r w:rsidRPr="00892BA6">
                        <w:rPr>
                          <w:rFonts w:cs="Times New Roman"/>
                          <w:sz w:val="28"/>
                          <w:szCs w:val="28"/>
                          <w:lang w:val="en-US"/>
                        </w:rPr>
                        <w:t>Title of your abstract</w:t>
                      </w:r>
                    </w:p>
                    <w:p w14:paraId="74FE40B0" w14:textId="77777777" w:rsidR="00892BA6" w:rsidRDefault="00892BA6" w:rsidP="007A3462">
                      <w:pPr>
                        <w:pStyle w:val="KeinLeerraum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</w:p>
                    <w:p w14:paraId="31CEFDE7" w14:textId="4E538410" w:rsidR="007A3462" w:rsidRPr="00874DE0" w:rsidRDefault="007A3462" w:rsidP="007A3462">
                      <w:pPr>
                        <w:pStyle w:val="KeinLeerraum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  <w:lang w:val="en-US"/>
                        </w:rPr>
                      </w:pPr>
                      <w:r w:rsidRPr="00874DE0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Presenting </w:t>
                      </w:r>
                      <w:proofErr w:type="spellStart"/>
                      <w:r w:rsidRPr="00874DE0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author</w:t>
                      </w:r>
                      <w:r w:rsidRPr="00874DE0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  <w:lang w:val="en-US"/>
                        </w:rPr>
                        <w:t>a</w:t>
                      </w:r>
                      <w:proofErr w:type="spellEnd"/>
                      <w:r w:rsidRPr="00874DE0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, second </w:t>
                      </w:r>
                      <w:proofErr w:type="spellStart"/>
                      <w:r w:rsidRPr="00874DE0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author</w:t>
                      </w:r>
                      <w:r w:rsidRPr="00874DE0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  <w:lang w:val="en-US"/>
                        </w:rPr>
                        <w:t>b</w:t>
                      </w:r>
                      <w:proofErr w:type="spellEnd"/>
                      <w:r w:rsidRPr="00874DE0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, …., last </w:t>
                      </w:r>
                      <w:proofErr w:type="spellStart"/>
                      <w:r w:rsidRPr="00874DE0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author</w:t>
                      </w:r>
                      <w:r w:rsidRPr="00874DE0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  <w:lang w:val="en-US"/>
                        </w:rPr>
                        <w:t>c</w:t>
                      </w:r>
                      <w:proofErr w:type="spellEnd"/>
                    </w:p>
                    <w:p w14:paraId="6CEF530B" w14:textId="77777777" w:rsidR="007A3462" w:rsidRPr="00892BA6" w:rsidRDefault="007A3462" w:rsidP="007A3462">
                      <w:pPr>
                        <w:pStyle w:val="KeinLeerraum"/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  <w:vertAlign w:val="superscript"/>
                          <w:lang w:val="en-US"/>
                        </w:rPr>
                      </w:pPr>
                    </w:p>
                    <w:p w14:paraId="3451BBD1" w14:textId="2A922D62" w:rsidR="007A3462" w:rsidRPr="0026654D" w:rsidRDefault="007A3462" w:rsidP="00885F38">
                      <w:pPr>
                        <w:pStyle w:val="KeinLeerraum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GB"/>
                        </w:rPr>
                      </w:pPr>
                      <w:r w:rsidRPr="00874DE0"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  <w:lang w:val="en-US"/>
                        </w:rPr>
                        <w:t>a</w:t>
                      </w:r>
                      <w:r w:rsidR="00885F38"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  <w:lang w:val="en-US"/>
                        </w:rPr>
                        <w:t xml:space="preserve"> </w:t>
                      </w:r>
                      <w:r w:rsidRPr="00874DE0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Name of department</w:t>
                      </w:r>
                      <w:r w:rsidR="0026654D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, </w:t>
                      </w:r>
                      <w:r w:rsidR="00892BA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institute, </w:t>
                      </w:r>
                      <w:r w:rsidR="0026654D" w:rsidRPr="0026654D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GB"/>
                        </w:rPr>
                        <w:t>organisation, country</w:t>
                      </w:r>
                    </w:p>
                    <w:p w14:paraId="3E9F0D47" w14:textId="71A46690" w:rsidR="007A3462" w:rsidRPr="0026654D" w:rsidRDefault="007A3462" w:rsidP="00885F38">
                      <w:pPr>
                        <w:pStyle w:val="KeinLeerraum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GB"/>
                        </w:rPr>
                      </w:pPr>
                      <w:r w:rsidRPr="0026654D"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  <w:lang w:val="en-GB"/>
                        </w:rPr>
                        <w:t>b</w:t>
                      </w:r>
                      <w:r w:rsidR="00885F38" w:rsidRPr="0026654D"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  <w:lang w:val="en-GB"/>
                        </w:rPr>
                        <w:t xml:space="preserve"> </w:t>
                      </w:r>
                      <w:r w:rsidRPr="0026654D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GB"/>
                        </w:rPr>
                        <w:t>Name of department</w:t>
                      </w:r>
                      <w:r w:rsidR="0026654D" w:rsidRPr="0026654D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GB"/>
                        </w:rPr>
                        <w:t xml:space="preserve">, </w:t>
                      </w:r>
                      <w:r w:rsidR="00892BA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institute, </w:t>
                      </w:r>
                      <w:r w:rsidR="0026654D" w:rsidRPr="0026654D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GB"/>
                        </w:rPr>
                        <w:t>organi</w:t>
                      </w:r>
                      <w:r w:rsidR="0026654D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GB"/>
                        </w:rPr>
                        <w:t>s</w:t>
                      </w:r>
                      <w:r w:rsidR="0026654D" w:rsidRPr="0026654D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GB"/>
                        </w:rPr>
                        <w:t>ation, country</w:t>
                      </w:r>
                    </w:p>
                    <w:p w14:paraId="3A3CD072" w14:textId="4AFF8BA9" w:rsidR="007A3462" w:rsidRPr="00892BA6" w:rsidRDefault="007A3462" w:rsidP="00892BA6">
                      <w:pPr>
                        <w:pStyle w:val="KeinLeerraum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26654D"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  <w:lang w:val="en-GB"/>
                        </w:rPr>
                        <w:t>c</w:t>
                      </w:r>
                      <w:r w:rsidR="00885F38" w:rsidRPr="0026654D"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  <w:lang w:val="en-GB"/>
                        </w:rPr>
                        <w:t xml:space="preserve"> </w:t>
                      </w:r>
                      <w:r w:rsidRPr="0026654D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GB"/>
                        </w:rPr>
                        <w:t>Name of department</w:t>
                      </w:r>
                      <w:r w:rsidR="0026654D" w:rsidRPr="0026654D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GB"/>
                        </w:rPr>
                        <w:t xml:space="preserve">, </w:t>
                      </w:r>
                      <w:r w:rsidR="00892BA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institute, </w:t>
                      </w:r>
                      <w:r w:rsidR="0026654D" w:rsidRPr="0026654D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GB"/>
                        </w:rPr>
                        <w:t>organi</w:t>
                      </w:r>
                      <w:r w:rsidR="0026654D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GB"/>
                        </w:rPr>
                        <w:t>s</w:t>
                      </w:r>
                      <w:r w:rsidR="0026654D" w:rsidRPr="0026654D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GB"/>
                        </w:rPr>
                        <w:t>ation,</w:t>
                      </w:r>
                      <w:r w:rsidR="0026654D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country</w:t>
                      </w:r>
                    </w:p>
                    <w:p w14:paraId="30AC7684" w14:textId="77777777" w:rsidR="00892BA6" w:rsidRPr="00284F0C" w:rsidRDefault="00892BA6" w:rsidP="00892BA6">
                      <w:pPr>
                        <w:pStyle w:val="KeinLeerraum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  <w:p w14:paraId="3569762A" w14:textId="77777777" w:rsidR="007A3462" w:rsidRPr="00D61247" w:rsidRDefault="007A3462" w:rsidP="007A3462">
                      <w:pPr>
                        <w:pStyle w:val="Sections"/>
                        <w:rPr>
                          <w:sz w:val="22"/>
                        </w:rPr>
                      </w:pPr>
                      <w:r w:rsidRPr="00D61247">
                        <w:rPr>
                          <w:sz w:val="22"/>
                        </w:rPr>
                        <w:t>Objectives:</w:t>
                      </w:r>
                    </w:p>
                    <w:p w14:paraId="29E70B31" w14:textId="4E25CC29" w:rsidR="007A3462" w:rsidRPr="007A3462" w:rsidRDefault="007A3462" w:rsidP="007A3462">
                      <w:pPr>
                        <w:pStyle w:val="Sections"/>
                        <w:rPr>
                          <w:b w:val="0"/>
                          <w:bCs/>
                          <w:sz w:val="22"/>
                        </w:rPr>
                      </w:pPr>
                    </w:p>
                    <w:p w14:paraId="1B162A52" w14:textId="3C625512" w:rsidR="007A3462" w:rsidRPr="007A3462" w:rsidRDefault="007A3462" w:rsidP="007A3462">
                      <w:pPr>
                        <w:pStyle w:val="Sections"/>
                        <w:rPr>
                          <w:b w:val="0"/>
                          <w:bCs/>
                          <w:sz w:val="22"/>
                        </w:rPr>
                      </w:pPr>
                    </w:p>
                    <w:p w14:paraId="23665FBE" w14:textId="3AE304E5" w:rsidR="007A3462" w:rsidRPr="007A3462" w:rsidRDefault="007A3462" w:rsidP="007A3462">
                      <w:pPr>
                        <w:pStyle w:val="Sections"/>
                        <w:rPr>
                          <w:b w:val="0"/>
                          <w:bCs/>
                          <w:sz w:val="22"/>
                        </w:rPr>
                      </w:pPr>
                    </w:p>
                    <w:p w14:paraId="323F893A" w14:textId="4A804D36" w:rsidR="007A3462" w:rsidRPr="007A3462" w:rsidRDefault="007A3462" w:rsidP="007A3462">
                      <w:pPr>
                        <w:pStyle w:val="Sections"/>
                        <w:rPr>
                          <w:b w:val="0"/>
                          <w:bCs/>
                          <w:sz w:val="22"/>
                        </w:rPr>
                      </w:pPr>
                    </w:p>
                    <w:p w14:paraId="371EF3F9" w14:textId="77777777" w:rsidR="007A3462" w:rsidRPr="007A3462" w:rsidRDefault="007A3462" w:rsidP="007A3462">
                      <w:pPr>
                        <w:pStyle w:val="Sections"/>
                        <w:rPr>
                          <w:b w:val="0"/>
                          <w:bCs/>
                          <w:sz w:val="22"/>
                        </w:rPr>
                      </w:pPr>
                    </w:p>
                    <w:p w14:paraId="5A50C2EF" w14:textId="77777777" w:rsidR="007A3462" w:rsidRPr="007A3462" w:rsidRDefault="007A3462" w:rsidP="007A3462">
                      <w:pPr>
                        <w:pStyle w:val="Sections"/>
                        <w:rPr>
                          <w:b w:val="0"/>
                          <w:bCs/>
                          <w:sz w:val="22"/>
                        </w:rPr>
                      </w:pPr>
                    </w:p>
                    <w:p w14:paraId="1FA519CA" w14:textId="77777777" w:rsidR="007A3462" w:rsidRPr="00D61247" w:rsidRDefault="007A3462" w:rsidP="007A3462">
                      <w:pPr>
                        <w:pStyle w:val="Sections"/>
                        <w:rPr>
                          <w:sz w:val="22"/>
                        </w:rPr>
                      </w:pPr>
                      <w:r w:rsidRPr="00D61247">
                        <w:rPr>
                          <w:sz w:val="22"/>
                        </w:rPr>
                        <w:t>Methods:</w:t>
                      </w:r>
                    </w:p>
                    <w:p w14:paraId="1BDB1CB2" w14:textId="67532197" w:rsidR="007A3462" w:rsidRPr="007A3462" w:rsidRDefault="007A3462" w:rsidP="007A3462">
                      <w:pPr>
                        <w:pStyle w:val="Sections"/>
                        <w:rPr>
                          <w:b w:val="0"/>
                          <w:bCs/>
                          <w:sz w:val="22"/>
                        </w:rPr>
                      </w:pPr>
                    </w:p>
                    <w:p w14:paraId="7B3C84BB" w14:textId="245701C3" w:rsidR="007A3462" w:rsidRPr="007A3462" w:rsidRDefault="007A3462" w:rsidP="007A3462">
                      <w:pPr>
                        <w:pStyle w:val="Sections"/>
                        <w:rPr>
                          <w:b w:val="0"/>
                          <w:bCs/>
                          <w:sz w:val="22"/>
                        </w:rPr>
                      </w:pPr>
                    </w:p>
                    <w:p w14:paraId="38EB61F8" w14:textId="391A2F8D" w:rsidR="007A3462" w:rsidRPr="007A3462" w:rsidRDefault="007A3462" w:rsidP="007A3462">
                      <w:pPr>
                        <w:pStyle w:val="Sections"/>
                        <w:rPr>
                          <w:b w:val="0"/>
                          <w:bCs/>
                          <w:sz w:val="22"/>
                        </w:rPr>
                      </w:pPr>
                    </w:p>
                    <w:p w14:paraId="3C9F0080" w14:textId="35549681" w:rsidR="007A3462" w:rsidRDefault="007A3462" w:rsidP="007A3462">
                      <w:pPr>
                        <w:pStyle w:val="Sections"/>
                        <w:rPr>
                          <w:b w:val="0"/>
                          <w:bCs/>
                          <w:sz w:val="22"/>
                        </w:rPr>
                      </w:pPr>
                    </w:p>
                    <w:p w14:paraId="091E9780" w14:textId="75A6CBA9" w:rsidR="00892BA6" w:rsidRDefault="00892BA6" w:rsidP="007A3462">
                      <w:pPr>
                        <w:pStyle w:val="Sections"/>
                        <w:rPr>
                          <w:b w:val="0"/>
                          <w:bCs/>
                          <w:sz w:val="22"/>
                        </w:rPr>
                      </w:pPr>
                    </w:p>
                    <w:p w14:paraId="1ADFFB26" w14:textId="77777777" w:rsidR="00892BA6" w:rsidRPr="007A3462" w:rsidRDefault="00892BA6" w:rsidP="007A3462">
                      <w:pPr>
                        <w:pStyle w:val="Sections"/>
                        <w:rPr>
                          <w:b w:val="0"/>
                          <w:bCs/>
                          <w:sz w:val="22"/>
                        </w:rPr>
                      </w:pPr>
                    </w:p>
                    <w:p w14:paraId="116D0760" w14:textId="77777777" w:rsidR="007A3462" w:rsidRPr="007A3462" w:rsidRDefault="007A3462" w:rsidP="007A3462">
                      <w:pPr>
                        <w:pStyle w:val="Sections"/>
                        <w:rPr>
                          <w:b w:val="0"/>
                          <w:bCs/>
                          <w:sz w:val="22"/>
                        </w:rPr>
                      </w:pPr>
                    </w:p>
                    <w:p w14:paraId="3FE8A8FD" w14:textId="77777777" w:rsidR="007A3462" w:rsidRPr="00D61247" w:rsidRDefault="007A3462" w:rsidP="007A3462">
                      <w:pPr>
                        <w:pStyle w:val="Sections"/>
                        <w:rPr>
                          <w:sz w:val="22"/>
                        </w:rPr>
                      </w:pPr>
                      <w:r w:rsidRPr="00D61247">
                        <w:rPr>
                          <w:sz w:val="22"/>
                        </w:rPr>
                        <w:t>Results:</w:t>
                      </w:r>
                    </w:p>
                    <w:p w14:paraId="5BA7C0F5" w14:textId="1EC0B642" w:rsidR="007A3462" w:rsidRPr="007A3462" w:rsidRDefault="007A3462" w:rsidP="007A3462">
                      <w:pPr>
                        <w:pStyle w:val="Sections"/>
                        <w:rPr>
                          <w:b w:val="0"/>
                          <w:bCs/>
                          <w:sz w:val="22"/>
                        </w:rPr>
                      </w:pPr>
                    </w:p>
                    <w:p w14:paraId="621CC749" w14:textId="7E336871" w:rsidR="007A3462" w:rsidRPr="007A3462" w:rsidRDefault="007A3462" w:rsidP="007A3462">
                      <w:pPr>
                        <w:pStyle w:val="Sections"/>
                        <w:rPr>
                          <w:b w:val="0"/>
                          <w:bCs/>
                          <w:sz w:val="22"/>
                        </w:rPr>
                      </w:pPr>
                    </w:p>
                    <w:p w14:paraId="153AB742" w14:textId="08950A5D" w:rsidR="007A3462" w:rsidRPr="007A3462" w:rsidRDefault="007A3462" w:rsidP="007A3462">
                      <w:pPr>
                        <w:pStyle w:val="Sections"/>
                        <w:rPr>
                          <w:b w:val="0"/>
                          <w:bCs/>
                          <w:sz w:val="22"/>
                        </w:rPr>
                      </w:pPr>
                    </w:p>
                    <w:p w14:paraId="58BB4BC7" w14:textId="77777777" w:rsidR="007A3462" w:rsidRPr="007A3462" w:rsidRDefault="007A3462" w:rsidP="007A3462">
                      <w:pPr>
                        <w:pStyle w:val="Sections"/>
                        <w:rPr>
                          <w:b w:val="0"/>
                          <w:bCs/>
                          <w:sz w:val="22"/>
                        </w:rPr>
                      </w:pPr>
                    </w:p>
                    <w:p w14:paraId="3B581AEE" w14:textId="3E0DF720" w:rsidR="007A3462" w:rsidRPr="007A3462" w:rsidRDefault="007A3462" w:rsidP="007A3462">
                      <w:pPr>
                        <w:pStyle w:val="Sections"/>
                        <w:rPr>
                          <w:b w:val="0"/>
                          <w:bCs/>
                          <w:sz w:val="22"/>
                        </w:rPr>
                      </w:pPr>
                    </w:p>
                    <w:p w14:paraId="38CE5839" w14:textId="5F1B5520" w:rsidR="007A3462" w:rsidRPr="007A3462" w:rsidRDefault="007A3462" w:rsidP="007A3462">
                      <w:pPr>
                        <w:pStyle w:val="Sections"/>
                        <w:rPr>
                          <w:b w:val="0"/>
                          <w:bCs/>
                          <w:sz w:val="22"/>
                        </w:rPr>
                      </w:pPr>
                    </w:p>
                    <w:p w14:paraId="369DA556" w14:textId="77777777" w:rsidR="007A3462" w:rsidRPr="007A3462" w:rsidRDefault="007A3462" w:rsidP="007A3462">
                      <w:pPr>
                        <w:pStyle w:val="Sections"/>
                        <w:rPr>
                          <w:b w:val="0"/>
                          <w:bCs/>
                          <w:sz w:val="22"/>
                        </w:rPr>
                      </w:pPr>
                    </w:p>
                    <w:p w14:paraId="4DA2690B" w14:textId="77777777" w:rsidR="007A3462" w:rsidRPr="00D61247" w:rsidRDefault="007A3462" w:rsidP="007A3462">
                      <w:pPr>
                        <w:pStyle w:val="Sections"/>
                        <w:rPr>
                          <w:sz w:val="22"/>
                        </w:rPr>
                      </w:pPr>
                      <w:r w:rsidRPr="00D61247">
                        <w:rPr>
                          <w:sz w:val="22"/>
                        </w:rPr>
                        <w:t>Conclusion:</w:t>
                      </w:r>
                    </w:p>
                    <w:p w14:paraId="6AA4B65E" w14:textId="58DC9F9E" w:rsidR="007A3462" w:rsidRDefault="007A3462" w:rsidP="007A3462">
                      <w:pPr>
                        <w:pStyle w:val="KeinLeerraum"/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lang w:val="en-GB"/>
                        </w:rPr>
                      </w:pPr>
                    </w:p>
                    <w:p w14:paraId="49232D76" w14:textId="3F6EE4E7" w:rsidR="007A3462" w:rsidRDefault="007A3462" w:rsidP="007A3462">
                      <w:pPr>
                        <w:pStyle w:val="KeinLeerraum"/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lang w:val="en-GB"/>
                        </w:rPr>
                      </w:pPr>
                    </w:p>
                    <w:p w14:paraId="1C505A85" w14:textId="77777777" w:rsidR="00892BA6" w:rsidRDefault="00892BA6" w:rsidP="007A3462">
                      <w:pPr>
                        <w:pStyle w:val="KeinLeerraum"/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lang w:val="en-GB"/>
                        </w:rPr>
                      </w:pPr>
                    </w:p>
                    <w:p w14:paraId="76C4FD39" w14:textId="77777777" w:rsidR="007A3462" w:rsidRDefault="007A3462" w:rsidP="007A3462">
                      <w:pPr>
                        <w:pStyle w:val="KeinLeerraum"/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lang w:val="en-GB"/>
                        </w:rPr>
                      </w:pPr>
                    </w:p>
                    <w:p w14:paraId="4BF51927" w14:textId="44F35D3E" w:rsidR="007A3462" w:rsidRDefault="007A3462" w:rsidP="007A3462">
                      <w:pPr>
                        <w:rPr>
                          <w:lang w:val="en-GB"/>
                        </w:rPr>
                      </w:pPr>
                    </w:p>
                    <w:p w14:paraId="474CE951" w14:textId="6C9FA170" w:rsidR="00892BA6" w:rsidRDefault="00892BA6" w:rsidP="007A3462">
                      <w:pPr>
                        <w:rPr>
                          <w:lang w:val="en-GB"/>
                        </w:rPr>
                      </w:pPr>
                    </w:p>
                    <w:p w14:paraId="43013DCC" w14:textId="77777777" w:rsidR="00892BA6" w:rsidRDefault="00892BA6" w:rsidP="007A3462">
                      <w:pPr>
                        <w:rPr>
                          <w:lang w:val="en-GB"/>
                        </w:rPr>
                      </w:pPr>
                    </w:p>
                    <w:p w14:paraId="73013D1E" w14:textId="77777777" w:rsidR="00892BA6" w:rsidRDefault="00892BA6" w:rsidP="00892BA6">
                      <w:pPr>
                        <w:pStyle w:val="Sections"/>
                        <w:spacing w:line="240" w:lineRule="auto"/>
                        <w:jc w:val="left"/>
                        <w:rPr>
                          <w:bCs/>
                          <w:sz w:val="18"/>
                          <w:szCs w:val="20"/>
                        </w:rPr>
                      </w:pPr>
                    </w:p>
                    <w:p w14:paraId="00B972BC" w14:textId="660899CD" w:rsidR="00892BA6" w:rsidRPr="00892BA6" w:rsidRDefault="00892BA6" w:rsidP="00892BA6">
                      <w:pPr>
                        <w:pStyle w:val="Sections"/>
                        <w:spacing w:line="240" w:lineRule="auto"/>
                        <w:jc w:val="left"/>
                        <w:rPr>
                          <w:bCs/>
                          <w:sz w:val="18"/>
                          <w:szCs w:val="20"/>
                        </w:rPr>
                      </w:pPr>
                      <w:r w:rsidRPr="00892BA6">
                        <w:rPr>
                          <w:bCs/>
                          <w:sz w:val="18"/>
                          <w:szCs w:val="20"/>
                        </w:rPr>
                        <w:t>References:</w:t>
                      </w:r>
                    </w:p>
                    <w:p w14:paraId="657333BE" w14:textId="22FFBDE5" w:rsidR="00892BA6" w:rsidRPr="00892BA6" w:rsidRDefault="00892BA6" w:rsidP="00892BA6">
                      <w:pPr>
                        <w:pStyle w:val="Sections"/>
                        <w:spacing w:line="240" w:lineRule="auto"/>
                        <w:jc w:val="left"/>
                        <w:rPr>
                          <w:b w:val="0"/>
                          <w:bCs/>
                          <w:sz w:val="16"/>
                          <w:szCs w:val="20"/>
                        </w:rPr>
                      </w:pPr>
                      <w:r w:rsidRPr="00892BA6">
                        <w:rPr>
                          <w:b w:val="0"/>
                          <w:bCs/>
                          <w:sz w:val="16"/>
                          <w:szCs w:val="20"/>
                        </w:rPr>
                        <w:t xml:space="preserve">[1] A.B. Author. </w:t>
                      </w:r>
                      <w:r w:rsidRPr="00892BA6">
                        <w:rPr>
                          <w:b w:val="0"/>
                          <w:sz w:val="16"/>
                          <w:szCs w:val="16"/>
                          <w:lang w:val="en-GB"/>
                        </w:rPr>
                        <w:t>J</w:t>
                      </w:r>
                      <w:r>
                        <w:rPr>
                          <w:b w:val="0"/>
                          <w:sz w:val="16"/>
                          <w:szCs w:val="16"/>
                          <w:lang w:val="en-GB"/>
                        </w:rPr>
                        <w:t>.</w:t>
                      </w:r>
                      <w:r w:rsidRPr="00892BA6">
                        <w:rPr>
                          <w:b w:val="0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proofErr w:type="spellStart"/>
                      <w:r w:rsidRPr="00892BA6">
                        <w:rPr>
                          <w:b w:val="0"/>
                          <w:sz w:val="16"/>
                          <w:szCs w:val="16"/>
                          <w:lang w:val="en-GB"/>
                        </w:rPr>
                        <w:t>Antimicrob</w:t>
                      </w:r>
                      <w:proofErr w:type="spellEnd"/>
                      <w:r>
                        <w:rPr>
                          <w:b w:val="0"/>
                          <w:sz w:val="16"/>
                          <w:szCs w:val="16"/>
                          <w:lang w:val="en-GB"/>
                        </w:rPr>
                        <w:t>.</w:t>
                      </w:r>
                      <w:r w:rsidRPr="00892BA6">
                        <w:rPr>
                          <w:b w:val="0"/>
                          <w:sz w:val="16"/>
                          <w:szCs w:val="16"/>
                          <w:lang w:val="en-GB"/>
                        </w:rPr>
                        <w:t xml:space="preserve"> Chemother</w:t>
                      </w:r>
                      <w:r>
                        <w:rPr>
                          <w:b w:val="0"/>
                          <w:sz w:val="16"/>
                          <w:szCs w:val="16"/>
                          <w:lang w:val="en-GB"/>
                        </w:rPr>
                        <w:t>.</w:t>
                      </w:r>
                      <w:r w:rsidRPr="00892BA6">
                        <w:rPr>
                          <w:b w:val="0"/>
                          <w:bCs/>
                          <w:sz w:val="16"/>
                          <w:szCs w:val="20"/>
                        </w:rPr>
                        <w:t xml:space="preserve"> </w:t>
                      </w:r>
                      <w:r>
                        <w:rPr>
                          <w:b w:val="0"/>
                          <w:bCs/>
                          <w:sz w:val="16"/>
                          <w:szCs w:val="20"/>
                        </w:rPr>
                        <w:t>76:</w:t>
                      </w:r>
                      <w:r w:rsidRPr="00892BA6">
                        <w:rPr>
                          <w:b w:val="0"/>
                          <w:bCs/>
                          <w:sz w:val="16"/>
                          <w:szCs w:val="20"/>
                        </w:rPr>
                        <w:t xml:space="preserve"> 12-18 (2013)</w:t>
                      </w:r>
                    </w:p>
                    <w:p w14:paraId="0F94E8A1" w14:textId="77777777" w:rsidR="00892BA6" w:rsidRPr="00892BA6" w:rsidRDefault="00892BA6" w:rsidP="00892BA6">
                      <w:pPr>
                        <w:pStyle w:val="Sections"/>
                        <w:spacing w:line="240" w:lineRule="auto"/>
                        <w:jc w:val="left"/>
                        <w:rPr>
                          <w:b w:val="0"/>
                          <w:bCs/>
                          <w:sz w:val="16"/>
                          <w:szCs w:val="20"/>
                        </w:rPr>
                      </w:pPr>
                      <w:r w:rsidRPr="00892BA6">
                        <w:rPr>
                          <w:b w:val="0"/>
                          <w:bCs/>
                          <w:sz w:val="16"/>
                          <w:szCs w:val="20"/>
                        </w:rPr>
                        <w:t xml:space="preserve">[2] W.X.Y. Writer. In: C. </w:t>
                      </w:r>
                      <w:proofErr w:type="spellStart"/>
                      <w:r w:rsidRPr="00892BA6">
                        <w:rPr>
                          <w:b w:val="0"/>
                          <w:bCs/>
                          <w:sz w:val="16"/>
                          <w:szCs w:val="20"/>
                        </w:rPr>
                        <w:t>Cordovil</w:t>
                      </w:r>
                      <w:proofErr w:type="spellEnd"/>
                      <w:r w:rsidRPr="00892BA6">
                        <w:rPr>
                          <w:b w:val="0"/>
                          <w:bCs/>
                          <w:sz w:val="16"/>
                          <w:szCs w:val="20"/>
                        </w:rPr>
                        <w:t xml:space="preserve"> et al. (eds.) Proceedings of the Workshop xxx. Lisbon/Portugal, 270-271 (2014)</w:t>
                      </w:r>
                    </w:p>
                    <w:p w14:paraId="31400981" w14:textId="4BB3B6D5" w:rsidR="00892BA6" w:rsidRPr="00892BA6" w:rsidRDefault="00892BA6" w:rsidP="00892BA6">
                      <w:pPr>
                        <w:pStyle w:val="Sections"/>
                        <w:spacing w:line="240" w:lineRule="auto"/>
                        <w:jc w:val="left"/>
                        <w:rPr>
                          <w:b w:val="0"/>
                          <w:bCs/>
                          <w:sz w:val="16"/>
                          <w:szCs w:val="20"/>
                        </w:rPr>
                      </w:pPr>
                      <w:r w:rsidRPr="00892BA6">
                        <w:rPr>
                          <w:b w:val="0"/>
                          <w:bCs/>
                          <w:sz w:val="16"/>
                          <w:szCs w:val="20"/>
                        </w:rPr>
                        <w:t>[3] A.B. Author (eds): Fundamentals of Antimicrobial Pharmacokinetics and Pharmacodynamics, Springer, Stuttgart/Germany, 2</w:t>
                      </w:r>
                      <w:r w:rsidRPr="00892BA6">
                        <w:rPr>
                          <w:b w:val="0"/>
                          <w:bCs/>
                          <w:sz w:val="16"/>
                          <w:szCs w:val="20"/>
                          <w:vertAlign w:val="superscript"/>
                        </w:rPr>
                        <w:t>nd</w:t>
                      </w:r>
                      <w:r w:rsidRPr="00892BA6">
                        <w:rPr>
                          <w:b w:val="0"/>
                          <w:bCs/>
                          <w:sz w:val="16"/>
                          <w:szCs w:val="20"/>
                        </w:rPr>
                        <w:t xml:space="preserve"> edition (2014)</w:t>
                      </w: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</w:p>
    <w:p w14:paraId="23058882" w14:textId="0A6F95A4" w:rsidR="002B4EE3" w:rsidRPr="00892BA6" w:rsidRDefault="00851C86" w:rsidP="00892BA6">
      <w:pPr>
        <w:pStyle w:val="Sections"/>
        <w:jc w:val="center"/>
        <w:rPr>
          <w:bCs/>
          <w:sz w:val="20"/>
          <w:szCs w:val="20"/>
        </w:rPr>
      </w:pPr>
      <w:r w:rsidRPr="00851C86">
        <w:rPr>
          <w:rFonts w:cs="Times New Roman"/>
          <w:bCs/>
          <w:noProof/>
          <w:sz w:val="32"/>
          <w:szCs w:val="28"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8D78EF8" wp14:editId="20487F24">
                <wp:simplePos x="0" y="0"/>
                <wp:positionH relativeFrom="margin">
                  <wp:posOffset>-271145</wp:posOffset>
                </wp:positionH>
                <wp:positionV relativeFrom="paragraph">
                  <wp:posOffset>217805</wp:posOffset>
                </wp:positionV>
                <wp:extent cx="6292850" cy="882015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0" cy="882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E4B0C" w14:textId="027ABD4A" w:rsidR="00F26469" w:rsidRPr="00892BA6" w:rsidRDefault="00F26469" w:rsidP="00F26469">
                            <w:pPr>
                              <w:spacing w:line="240" w:lineRule="auto"/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892BA6">
                              <w:rPr>
                                <w:rFonts w:cs="Times New Roman"/>
                                <w:sz w:val="28"/>
                                <w:szCs w:val="28"/>
                                <w:lang w:val="en-GB"/>
                              </w:rPr>
                              <w:t xml:space="preserve">Characterisation of plasma and target-site cefazolin pharmacokinetics and </w:t>
                            </w:r>
                            <w:r w:rsidR="00892BA6">
                              <w:rPr>
                                <w:rFonts w:cs="Times New Roman"/>
                                <w:sz w:val="28"/>
                                <w:szCs w:val="28"/>
                                <w:lang w:val="en-GB"/>
                              </w:rPr>
                              <w:br/>
                            </w:r>
                            <w:r w:rsidRPr="00892BA6">
                              <w:rPr>
                                <w:rFonts w:cs="Times New Roman"/>
                                <w:sz w:val="28"/>
                                <w:szCs w:val="28"/>
                                <w:lang w:val="en-GB"/>
                              </w:rPr>
                              <w:t>protein binding in obese and nonobese patients</w:t>
                            </w:r>
                          </w:p>
                          <w:p w14:paraId="7C9F7B39" w14:textId="77777777" w:rsidR="007A3462" w:rsidRPr="00892BA6" w:rsidRDefault="007A3462" w:rsidP="007A3462">
                            <w:pPr>
                              <w:spacing w:line="240" w:lineRule="auto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18820B39" w14:textId="1A8A168D" w:rsidR="00F26469" w:rsidRPr="00185350" w:rsidRDefault="00F26469" w:rsidP="00F26469">
                            <w:pPr>
                              <w:pStyle w:val="KeinLeerraum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vertAlign w:val="superscript"/>
                                <w:lang w:val="it-IT"/>
                              </w:rPr>
                            </w:pPr>
                            <w:r w:rsidRPr="00185350">
                              <w:rPr>
                                <w:rFonts w:ascii="Times New Roman" w:hAnsi="Times New Roman" w:cs="Times New Roman"/>
                                <w:sz w:val="20"/>
                                <w:lang w:val="it-IT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it-IT"/>
                              </w:rPr>
                              <w:t>avide</w:t>
                            </w:r>
                            <w:r w:rsidRPr="00185350">
                              <w:rPr>
                                <w:rFonts w:ascii="Times New Roman" w:hAnsi="Times New Roman" w:cs="Times New Roman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85350">
                              <w:rPr>
                                <w:rFonts w:ascii="Times New Roman" w:hAnsi="Times New Roman" w:cs="Times New Roman"/>
                                <w:sz w:val="20"/>
                                <w:lang w:val="it-IT"/>
                              </w:rPr>
                              <w:t>Bindellini</w:t>
                            </w:r>
                            <w:r w:rsidRPr="00185350">
                              <w:rPr>
                                <w:rFonts w:ascii="Times New Roman" w:hAnsi="Times New Roman" w:cs="Times New Roman"/>
                                <w:sz w:val="20"/>
                                <w:vertAlign w:val="superscript"/>
                                <w:lang w:val="it-IT"/>
                              </w:rPr>
                              <w:t>a,</w:t>
                            </w:r>
                            <w:r w:rsidR="00BE5641">
                              <w:rPr>
                                <w:rFonts w:ascii="Times New Roman" w:hAnsi="Times New Roman" w:cs="Times New Roman"/>
                                <w:sz w:val="20"/>
                                <w:vertAlign w:val="superscript"/>
                                <w:lang w:val="it-IT"/>
                              </w:rPr>
                              <w:t>b</w:t>
                            </w:r>
                            <w:proofErr w:type="spellEnd"/>
                            <w:proofErr w:type="gramEnd"/>
                            <w:r w:rsidRPr="00185350">
                              <w:rPr>
                                <w:rFonts w:ascii="Times New Roman" w:hAnsi="Times New Roman" w:cs="Times New Roman"/>
                                <w:sz w:val="20"/>
                                <w:lang w:val="it-IT"/>
                              </w:rPr>
                              <w:t>, 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it-IT"/>
                              </w:rPr>
                              <w:t>avid</w:t>
                            </w:r>
                            <w:r w:rsidRPr="00185350">
                              <w:rPr>
                                <w:rFonts w:ascii="Times New Roman" w:hAnsi="Times New Roman" w:cs="Times New Roman"/>
                                <w:sz w:val="20"/>
                                <w:vertAlign w:val="superscript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185350">
                              <w:rPr>
                                <w:rFonts w:ascii="Times New Roman" w:hAnsi="Times New Roman" w:cs="Times New Roman"/>
                                <w:sz w:val="20"/>
                                <w:lang w:val="it-IT"/>
                              </w:rPr>
                              <w:t>Busse</w:t>
                            </w:r>
                            <w:r w:rsidRPr="00185350">
                              <w:rPr>
                                <w:rFonts w:ascii="Times New Roman" w:hAnsi="Times New Roman" w:cs="Times New Roman"/>
                                <w:sz w:val="20"/>
                                <w:vertAlign w:val="superscript"/>
                                <w:lang w:val="it-IT"/>
                              </w:rPr>
                              <w:t>a,b</w:t>
                            </w:r>
                            <w:proofErr w:type="spellEnd"/>
                            <w:r w:rsidRPr="00185350">
                              <w:rPr>
                                <w:rFonts w:ascii="Times New Roman" w:hAnsi="Times New Roman" w:cs="Times New Roman"/>
                                <w:sz w:val="20"/>
                                <w:lang w:val="it-IT"/>
                              </w:rPr>
                              <w:t>, P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it-IT"/>
                              </w:rPr>
                              <w:t>hilipp</w:t>
                            </w:r>
                            <w:r w:rsidRPr="00185350">
                              <w:rPr>
                                <w:rFonts w:ascii="Times New Roman" w:hAnsi="Times New Roman" w:cs="Times New Roman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185350">
                              <w:rPr>
                                <w:rFonts w:ascii="Times New Roman" w:hAnsi="Times New Roman" w:cs="Times New Roman"/>
                                <w:sz w:val="20"/>
                                <w:lang w:val="it-IT"/>
                              </w:rPr>
                              <w:t>Simon</w:t>
                            </w:r>
                            <w:r w:rsidRPr="00185350">
                              <w:rPr>
                                <w:rFonts w:ascii="Times New Roman" w:hAnsi="Times New Roman" w:cs="Times New Roman"/>
                                <w:sz w:val="20"/>
                                <w:vertAlign w:val="superscript"/>
                                <w:lang w:val="it-IT"/>
                              </w:rPr>
                              <w:t>c</w:t>
                            </w:r>
                            <w:proofErr w:type="spellEnd"/>
                            <w:r w:rsidRPr="00185350">
                              <w:rPr>
                                <w:rFonts w:ascii="Times New Roman" w:hAnsi="Times New Roman" w:cs="Times New Roman"/>
                                <w:sz w:val="20"/>
                                <w:lang w:val="it-IT"/>
                              </w:rPr>
                              <w:t>, 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it-IT"/>
                              </w:rPr>
                              <w:t>obin</w:t>
                            </w:r>
                            <w:r w:rsidRPr="00185350">
                              <w:rPr>
                                <w:rFonts w:ascii="Times New Roman" w:hAnsi="Times New Roman" w:cs="Times New Roman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185350">
                              <w:rPr>
                                <w:rFonts w:ascii="Times New Roman" w:hAnsi="Times New Roman" w:cs="Times New Roman"/>
                                <w:sz w:val="20"/>
                                <w:lang w:val="it-IT"/>
                              </w:rPr>
                              <w:t>Michelet</w:t>
                            </w:r>
                            <w:r w:rsidRPr="00185350">
                              <w:rPr>
                                <w:rFonts w:ascii="Times New Roman" w:hAnsi="Times New Roman" w:cs="Times New Roman"/>
                                <w:sz w:val="20"/>
                                <w:vertAlign w:val="superscript"/>
                                <w:lang w:val="it-IT"/>
                              </w:rPr>
                              <w:t>a</w:t>
                            </w:r>
                            <w:proofErr w:type="spellEnd"/>
                            <w:r w:rsidRPr="00185350">
                              <w:rPr>
                                <w:rFonts w:ascii="Times New Roman" w:hAnsi="Times New Roman" w:cs="Times New Roman"/>
                                <w:sz w:val="20"/>
                                <w:lang w:val="it-IT"/>
                              </w:rPr>
                              <w:t>, 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it-IT"/>
                              </w:rPr>
                              <w:t>avid</w:t>
                            </w:r>
                            <w:r w:rsidRPr="00185350">
                              <w:rPr>
                                <w:rFonts w:ascii="Times New Roman" w:hAnsi="Times New Roman" w:cs="Times New Roman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185350">
                              <w:rPr>
                                <w:rFonts w:ascii="Times New Roman" w:hAnsi="Times New Roman" w:cs="Times New Roman"/>
                                <w:sz w:val="20"/>
                                <w:lang w:val="it-IT"/>
                              </w:rPr>
                              <w:t>Petroff</w:t>
                            </w:r>
                            <w:r w:rsidRPr="00185350">
                              <w:rPr>
                                <w:rFonts w:ascii="Times New Roman" w:hAnsi="Times New Roman" w:cs="Times New Roman"/>
                                <w:sz w:val="20"/>
                                <w:vertAlign w:val="superscript"/>
                                <w:lang w:val="it-IT"/>
                              </w:rPr>
                              <w:t>d</w:t>
                            </w:r>
                            <w:proofErr w:type="spellEnd"/>
                            <w:r w:rsidRPr="00185350">
                              <w:rPr>
                                <w:rFonts w:ascii="Times New Roman" w:hAnsi="Times New Roman" w:cs="Times New Roman"/>
                                <w:sz w:val="20"/>
                                <w:lang w:val="it-IT"/>
                              </w:rPr>
                              <w:t>, C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it-IT"/>
                              </w:rPr>
                              <w:t>hristoph</w:t>
                            </w:r>
                            <w:r w:rsidRPr="00185350">
                              <w:rPr>
                                <w:rFonts w:ascii="Times New Roman" w:hAnsi="Times New Roman" w:cs="Times New Roman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185350">
                              <w:rPr>
                                <w:rFonts w:ascii="Times New Roman" w:hAnsi="Times New Roman" w:cs="Times New Roman"/>
                                <w:sz w:val="20"/>
                                <w:lang w:val="it-IT"/>
                              </w:rPr>
                              <w:t>Dorn</w:t>
                            </w:r>
                            <w:r w:rsidRPr="00185350">
                              <w:rPr>
                                <w:rFonts w:ascii="Times New Roman" w:hAnsi="Times New Roman" w:cs="Times New Roman"/>
                                <w:sz w:val="20"/>
                                <w:vertAlign w:val="superscript"/>
                                <w:lang w:val="it-IT"/>
                              </w:rPr>
                              <w:t>e</w:t>
                            </w:r>
                            <w:proofErr w:type="spellEnd"/>
                            <w:r w:rsidRPr="00185350">
                              <w:rPr>
                                <w:rFonts w:ascii="Times New Roman" w:hAnsi="Times New Roman" w:cs="Times New Roman"/>
                                <w:sz w:val="20"/>
                                <w:lang w:val="it-IT"/>
                              </w:rPr>
                              <w:t xml:space="preserve">, </w:t>
                            </w:r>
                            <w:r w:rsidR="00892BA6">
                              <w:rPr>
                                <w:rFonts w:ascii="Times New Roman" w:hAnsi="Times New Roman" w:cs="Times New Roman"/>
                                <w:sz w:val="20"/>
                                <w:lang w:val="it-IT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it-IT"/>
                              </w:rPr>
                              <w:t xml:space="preserve">Markus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it-IT"/>
                              </w:rPr>
                              <w:t>Zeitlinger</w:t>
                            </w:r>
                            <w:r w:rsidRPr="007052C2">
                              <w:rPr>
                                <w:rFonts w:ascii="Times New Roman" w:hAnsi="Times New Roman" w:cs="Times New Roman"/>
                                <w:sz w:val="20"/>
                                <w:vertAlign w:val="superscript"/>
                                <w:lang w:val="it-IT"/>
                              </w:rPr>
                              <w:t>f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it-IT"/>
                              </w:rPr>
                              <w:t xml:space="preserve">, </w:t>
                            </w:r>
                            <w:r w:rsidRPr="00185350">
                              <w:rPr>
                                <w:rFonts w:ascii="Times New Roman" w:hAnsi="Times New Roman" w:cs="Times New Roman"/>
                                <w:sz w:val="20"/>
                                <w:lang w:val="it-IT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it-IT"/>
                              </w:rPr>
                              <w:t>ermann</w:t>
                            </w:r>
                            <w:r w:rsidRPr="00185350">
                              <w:rPr>
                                <w:rFonts w:ascii="Times New Roman" w:hAnsi="Times New Roman" w:cs="Times New Roman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185350">
                              <w:rPr>
                                <w:rFonts w:ascii="Times New Roman" w:hAnsi="Times New Roman" w:cs="Times New Roman"/>
                                <w:sz w:val="20"/>
                                <w:lang w:val="it-IT"/>
                              </w:rPr>
                              <w:t>Wrigge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vertAlign w:val="superscript"/>
                                <w:lang w:val="it-IT"/>
                              </w:rPr>
                              <w:t>d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vertAlign w:val="superscript"/>
                                <w:lang w:val="it-IT"/>
                              </w:rPr>
                              <w:t xml:space="preserve"> g</w:t>
                            </w:r>
                            <w:r w:rsidRPr="00185350">
                              <w:rPr>
                                <w:rFonts w:ascii="Times New Roman" w:hAnsi="Times New Roman" w:cs="Times New Roman"/>
                                <w:sz w:val="20"/>
                                <w:lang w:val="it-IT"/>
                              </w:rPr>
                              <w:t>, W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it-IT"/>
                              </w:rPr>
                              <w:t>ilhelm</w:t>
                            </w:r>
                            <w:r w:rsidRPr="00185350">
                              <w:rPr>
                                <w:rFonts w:ascii="Times New Roman" w:hAnsi="Times New Roman" w:cs="Times New Roman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185350">
                              <w:rPr>
                                <w:rFonts w:ascii="Times New Roman" w:hAnsi="Times New Roman" w:cs="Times New Roman"/>
                                <w:sz w:val="20"/>
                                <w:lang w:val="it-IT"/>
                              </w:rPr>
                              <w:t>Huisinga</w:t>
                            </w:r>
                            <w:r w:rsidRPr="007052C2">
                              <w:rPr>
                                <w:rFonts w:ascii="Times New Roman" w:hAnsi="Times New Roman" w:cs="Times New Roman"/>
                                <w:sz w:val="20"/>
                                <w:vertAlign w:val="superscript"/>
                                <w:lang w:val="it-IT"/>
                              </w:rPr>
                              <w:t>h</w:t>
                            </w:r>
                            <w:proofErr w:type="spellEnd"/>
                            <w:r w:rsidRPr="00185350">
                              <w:rPr>
                                <w:rFonts w:ascii="Times New Roman" w:hAnsi="Times New Roman" w:cs="Times New Roman"/>
                                <w:sz w:val="20"/>
                                <w:lang w:val="it-IT"/>
                              </w:rPr>
                              <w:t>, C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it-IT"/>
                              </w:rPr>
                              <w:t>harlotte</w:t>
                            </w:r>
                            <w:r w:rsidRPr="00185350">
                              <w:rPr>
                                <w:rFonts w:ascii="Times New Roman" w:hAnsi="Times New Roman" w:cs="Times New Roman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185350">
                              <w:rPr>
                                <w:rFonts w:ascii="Times New Roman" w:hAnsi="Times New Roman" w:cs="Times New Roman"/>
                                <w:sz w:val="20"/>
                                <w:lang w:val="it-IT"/>
                              </w:rPr>
                              <w:t>Kloft</w:t>
                            </w:r>
                            <w:r w:rsidRPr="00185350">
                              <w:rPr>
                                <w:rFonts w:ascii="Times New Roman" w:hAnsi="Times New Roman" w:cs="Times New Roman"/>
                                <w:sz w:val="20"/>
                                <w:vertAlign w:val="superscript"/>
                                <w:lang w:val="it-IT"/>
                              </w:rPr>
                              <w:t>a</w:t>
                            </w:r>
                            <w:proofErr w:type="spellEnd"/>
                          </w:p>
                          <w:p w14:paraId="01A4E476" w14:textId="77777777" w:rsidR="007A3462" w:rsidRPr="00892BA6" w:rsidRDefault="007A3462" w:rsidP="007A3462">
                            <w:pPr>
                              <w:pStyle w:val="KeinLeerraum"/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  <w:vertAlign w:val="superscript"/>
                                <w:lang w:val="it-IT"/>
                              </w:rPr>
                            </w:pPr>
                          </w:p>
                          <w:p w14:paraId="319E1388" w14:textId="7DBFA56B" w:rsidR="00F26469" w:rsidRPr="0026654D" w:rsidRDefault="00F26469" w:rsidP="00F26469">
                            <w:pPr>
                              <w:pStyle w:val="KeinLeerraum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26654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  <w:lang w:val="en-GB"/>
                              </w:rPr>
                              <w:t xml:space="preserve">a </w:t>
                            </w:r>
                            <w:r w:rsidRPr="0026654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GB"/>
                              </w:rPr>
                              <w:t xml:space="preserve">Dept. of Clinical Pharmacy and Biochemistry, Institute of Pharmacy, </w:t>
                            </w:r>
                            <w:proofErr w:type="spellStart"/>
                            <w:r w:rsidRPr="0026654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GB"/>
                              </w:rPr>
                              <w:t>Freie</w:t>
                            </w:r>
                            <w:proofErr w:type="spellEnd"/>
                            <w:r w:rsidRPr="0026654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6654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GB"/>
                              </w:rPr>
                              <w:t>Universitaet</w:t>
                            </w:r>
                            <w:proofErr w:type="spellEnd"/>
                            <w:r w:rsidRPr="0026654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GB"/>
                              </w:rPr>
                              <w:t xml:space="preserve"> Berlin, Germany, </w:t>
                            </w:r>
                            <w:r w:rsidRPr="0026654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  <w:lang w:val="en-GB"/>
                              </w:rPr>
                              <w:t>b</w:t>
                            </w:r>
                            <w:r w:rsidRPr="0026654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GB"/>
                              </w:rPr>
                              <w:t>and Graduate Research Training program PharMetrX, Germany</w:t>
                            </w:r>
                          </w:p>
                          <w:p w14:paraId="186005ED" w14:textId="3C39E2FF" w:rsidR="00F26469" w:rsidRPr="0026654D" w:rsidRDefault="00F26469" w:rsidP="00F26469">
                            <w:pPr>
                              <w:pStyle w:val="KeinLeerraum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26654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  <w:lang w:val="en-GB"/>
                              </w:rPr>
                              <w:t xml:space="preserve">c </w:t>
                            </w:r>
                            <w:r w:rsidRPr="0026654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GB"/>
                              </w:rPr>
                              <w:t xml:space="preserve">Dept. of Anaesthesiology and Intensive Care Medicine, University of Leipzig Medical Centre and Integrated Research and Treatment </w:t>
                            </w:r>
                            <w:proofErr w:type="spellStart"/>
                            <w:r w:rsidRPr="0026654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GB"/>
                              </w:rPr>
                              <w:t>Center</w:t>
                            </w:r>
                            <w:proofErr w:type="spellEnd"/>
                            <w:r w:rsidRPr="0026654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GB"/>
                              </w:rPr>
                              <w:t xml:space="preserve"> (IFB), Adiposity Diseases, University of Leipzig, Germany</w:t>
                            </w:r>
                          </w:p>
                          <w:p w14:paraId="36D00D72" w14:textId="13C6247C" w:rsidR="00F26469" w:rsidRPr="0026654D" w:rsidRDefault="00F26469" w:rsidP="00F26469">
                            <w:pPr>
                              <w:pStyle w:val="KeinLeerraum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26654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  <w:lang w:val="en-GB"/>
                              </w:rPr>
                              <w:t>d</w:t>
                            </w:r>
                            <w:r w:rsidRPr="0026654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GB"/>
                              </w:rPr>
                              <w:t xml:space="preserve"> Clinical Trial Centre Leipzig, University of Leipzig, Germany</w:t>
                            </w:r>
                          </w:p>
                          <w:p w14:paraId="66A098AA" w14:textId="33726657" w:rsidR="00F26469" w:rsidRPr="0026654D" w:rsidRDefault="00F26469" w:rsidP="00F26469">
                            <w:pPr>
                              <w:pStyle w:val="KeinLeerraum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26654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  <w:lang w:val="en-GB"/>
                              </w:rPr>
                              <w:t xml:space="preserve">e </w:t>
                            </w:r>
                            <w:r w:rsidRPr="0026654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GB"/>
                              </w:rPr>
                              <w:t>Institute of Pharmacy, University of Regensburg, Germany</w:t>
                            </w:r>
                          </w:p>
                          <w:p w14:paraId="3A0DB230" w14:textId="7D577E0F" w:rsidR="00F26469" w:rsidRPr="0026654D" w:rsidRDefault="00F26469" w:rsidP="00F26469">
                            <w:pPr>
                              <w:pStyle w:val="KeinLeerraum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26654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  <w:lang w:val="en-GB"/>
                              </w:rPr>
                              <w:t>f</w:t>
                            </w:r>
                            <w:r w:rsidRPr="0026654D"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Pr="0026654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GB"/>
                              </w:rPr>
                              <w:t>Dept</w:t>
                            </w:r>
                            <w:r w:rsidR="00BE564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GB"/>
                              </w:rPr>
                              <w:t>.</w:t>
                            </w:r>
                            <w:r w:rsidRPr="0026654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GB"/>
                              </w:rPr>
                              <w:t xml:space="preserve"> of Clinical Pharmacology, Medical University of Vienna, Austria</w:t>
                            </w:r>
                          </w:p>
                          <w:p w14:paraId="3A799BA7" w14:textId="75A12CE7" w:rsidR="00F26469" w:rsidRPr="0026654D" w:rsidRDefault="00F26469" w:rsidP="00F26469">
                            <w:pPr>
                              <w:pStyle w:val="KeinLeerraum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26654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  <w:lang w:val="en-GB"/>
                              </w:rPr>
                              <w:t>g</w:t>
                            </w:r>
                            <w:r w:rsidR="006745B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Pr="0026654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GB"/>
                              </w:rPr>
                              <w:t>D</w:t>
                            </w:r>
                            <w:r w:rsidR="006745B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GB"/>
                              </w:rPr>
                              <w:t>ep</w:t>
                            </w:r>
                            <w:r w:rsidRPr="0026654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GB"/>
                              </w:rPr>
                              <w:t>t</w:t>
                            </w:r>
                            <w:r w:rsidR="006745B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GB"/>
                              </w:rPr>
                              <w:t>.</w:t>
                            </w:r>
                            <w:r w:rsidRPr="0026654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GB"/>
                              </w:rPr>
                              <w:t xml:space="preserve"> of Anaesthesiology, Intensive Care and Emergency Medicine, Pain Therapy</w:t>
                            </w:r>
                            <w:r w:rsidR="006745B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GB"/>
                              </w:rPr>
                              <w:t>,</w:t>
                            </w:r>
                            <w:r w:rsidR="006745B8" w:rsidRPr="006745B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6745B8" w:rsidRPr="0026654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GB"/>
                              </w:rPr>
                              <w:t>Bergmannstrost</w:t>
                            </w:r>
                            <w:proofErr w:type="spellEnd"/>
                            <w:r w:rsidR="006745B8" w:rsidRPr="0026654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GB"/>
                              </w:rPr>
                              <w:t xml:space="preserve"> Hospital Halle</w:t>
                            </w:r>
                            <w:r w:rsidRPr="0026654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GB"/>
                              </w:rPr>
                              <w:t>, Germany</w:t>
                            </w:r>
                          </w:p>
                          <w:p w14:paraId="665522B1" w14:textId="77777777" w:rsidR="00F26469" w:rsidRPr="0026654D" w:rsidRDefault="00F26469" w:rsidP="00F26469">
                            <w:pPr>
                              <w:pStyle w:val="KeinLeerraum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26654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  <w:lang w:val="en-GB"/>
                              </w:rPr>
                              <w:t xml:space="preserve">h </w:t>
                            </w:r>
                            <w:r w:rsidRPr="0026654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GB"/>
                              </w:rPr>
                              <w:t xml:space="preserve">Institute of Mathematics, </w:t>
                            </w:r>
                            <w:proofErr w:type="spellStart"/>
                            <w:r w:rsidRPr="0026654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GB"/>
                              </w:rPr>
                              <w:t>Universitaet</w:t>
                            </w:r>
                            <w:proofErr w:type="spellEnd"/>
                            <w:r w:rsidRPr="0026654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GB"/>
                              </w:rPr>
                              <w:t xml:space="preserve"> Potsdam, Germany</w:t>
                            </w:r>
                          </w:p>
                          <w:p w14:paraId="149BD09C" w14:textId="77777777" w:rsidR="007A3462" w:rsidRPr="00284F0C" w:rsidRDefault="007A3462" w:rsidP="00F26469">
                            <w:pPr>
                              <w:pStyle w:val="KeinLeerraum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bookmarkStart w:id="0" w:name="_Hlk100172688"/>
                          </w:p>
                          <w:bookmarkEnd w:id="0"/>
                          <w:p w14:paraId="770A51AC" w14:textId="77777777" w:rsidR="00F26469" w:rsidRPr="005901D0" w:rsidRDefault="00F26469" w:rsidP="00F26469">
                            <w:pPr>
                              <w:pStyle w:val="Sections"/>
                              <w:rPr>
                                <w:b w:val="0"/>
                                <w:bCs/>
                                <w:sz w:val="22"/>
                                <w:szCs w:val="20"/>
                                <w:lang w:val="en-GB"/>
                              </w:rPr>
                            </w:pPr>
                            <w:r w:rsidRPr="00B07F70">
                              <w:rPr>
                                <w:sz w:val="22"/>
                                <w:szCs w:val="20"/>
                                <w:lang w:val="en-GB"/>
                              </w:rPr>
                              <w:t>Objectives:</w:t>
                            </w: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/>
                                <w:sz w:val="22"/>
                                <w:szCs w:val="20"/>
                                <w:lang w:val="en-GB"/>
                              </w:rPr>
                              <w:t>Cefazolin</w:t>
                            </w:r>
                            <w:r w:rsidRPr="00436544">
                              <w:rPr>
                                <w:b w:val="0"/>
                                <w:bCs/>
                                <w:sz w:val="22"/>
                                <w:szCs w:val="20"/>
                                <w:lang w:val="en-GB"/>
                              </w:rPr>
                              <w:t xml:space="preserve"> (</w:t>
                            </w:r>
                            <w:r>
                              <w:rPr>
                                <w:b w:val="0"/>
                                <w:bCs/>
                                <w:sz w:val="22"/>
                                <w:szCs w:val="20"/>
                                <w:lang w:val="en-GB"/>
                              </w:rPr>
                              <w:t xml:space="preserve">CEZ) </w:t>
                            </w:r>
                            <w:r w:rsidRPr="00436544">
                              <w:rPr>
                                <w:b w:val="0"/>
                                <w:bCs/>
                                <w:sz w:val="22"/>
                                <w:szCs w:val="20"/>
                                <w:lang w:val="en-GB"/>
                              </w:rPr>
                              <w:t xml:space="preserve">is frequently used for the treatment of </w:t>
                            </w:r>
                            <w:r>
                              <w:rPr>
                                <w:b w:val="0"/>
                                <w:bCs/>
                                <w:sz w:val="22"/>
                                <w:szCs w:val="20"/>
                                <w:lang w:val="en-GB"/>
                              </w:rPr>
                              <w:t xml:space="preserve">skin and soft tissue </w:t>
                            </w:r>
                            <w:r w:rsidRPr="00436544">
                              <w:rPr>
                                <w:b w:val="0"/>
                                <w:bCs/>
                                <w:sz w:val="22"/>
                                <w:szCs w:val="20"/>
                                <w:lang w:val="en-GB"/>
                              </w:rPr>
                              <w:t>infections</w:t>
                            </w:r>
                            <w:r>
                              <w:rPr>
                                <w:b w:val="0"/>
                                <w:bCs/>
                                <w:sz w:val="22"/>
                                <w:szCs w:val="20"/>
                                <w:lang w:val="en-GB"/>
                              </w:rPr>
                              <w:t xml:space="preserve"> (SSTI)</w:t>
                            </w:r>
                            <w:r w:rsidRPr="00436544">
                              <w:rPr>
                                <w:b w:val="0"/>
                                <w:bCs/>
                                <w:sz w:val="22"/>
                                <w:szCs w:val="20"/>
                                <w:lang w:val="en-GB"/>
                              </w:rPr>
                              <w:t xml:space="preserve">, </w:t>
                            </w:r>
                            <w:proofErr w:type="gramStart"/>
                            <w:r w:rsidRPr="00436544">
                              <w:rPr>
                                <w:b w:val="0"/>
                                <w:bCs/>
                                <w:sz w:val="22"/>
                                <w:szCs w:val="20"/>
                                <w:lang w:val="en-GB"/>
                              </w:rPr>
                              <w:t>e.g.</w:t>
                            </w:r>
                            <w:proofErr w:type="gramEnd"/>
                            <w:r w:rsidRPr="00436544">
                              <w:rPr>
                                <w:b w:val="0"/>
                                <w:bCs/>
                                <w:sz w:val="22"/>
                                <w:szCs w:val="20"/>
                                <w:lang w:val="en-GB"/>
                              </w:rPr>
                              <w:t xml:space="preserve"> after surgery. </w:t>
                            </w:r>
                            <w:r>
                              <w:rPr>
                                <w:b w:val="0"/>
                                <w:bCs/>
                                <w:sz w:val="22"/>
                                <w:szCs w:val="20"/>
                                <w:lang w:val="en-GB"/>
                              </w:rPr>
                              <w:t>O</w:t>
                            </w:r>
                            <w:r w:rsidRPr="00436544">
                              <w:rPr>
                                <w:b w:val="0"/>
                                <w:bCs/>
                                <w:sz w:val="22"/>
                                <w:szCs w:val="20"/>
                                <w:lang w:val="en-GB"/>
                              </w:rPr>
                              <w:t>besity has been identified as a risk factor for surgical site infections,</w:t>
                            </w:r>
                            <w:r>
                              <w:rPr>
                                <w:b w:val="0"/>
                                <w:bCs/>
                                <w:sz w:val="22"/>
                                <w:szCs w:val="20"/>
                                <w:lang w:val="en-GB"/>
                              </w:rPr>
                              <w:t xml:space="preserve"> but data</w:t>
                            </w:r>
                            <w:r w:rsidRPr="00436544">
                              <w:rPr>
                                <w:b w:val="0"/>
                                <w:bCs/>
                                <w:sz w:val="22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/>
                                <w:sz w:val="22"/>
                                <w:szCs w:val="20"/>
                                <w:lang w:val="en-GB"/>
                              </w:rPr>
                              <w:t xml:space="preserve">for </w:t>
                            </w:r>
                            <w:r w:rsidRPr="00436544">
                              <w:rPr>
                                <w:b w:val="0"/>
                                <w:bCs/>
                                <w:sz w:val="22"/>
                                <w:szCs w:val="20"/>
                                <w:lang w:val="en-GB"/>
                              </w:rPr>
                              <w:t xml:space="preserve">a quantitative evaluation of its </w:t>
                            </w:r>
                            <w:r>
                              <w:rPr>
                                <w:b w:val="0"/>
                                <w:bCs/>
                                <w:sz w:val="22"/>
                                <w:szCs w:val="20"/>
                                <w:lang w:val="en-GB"/>
                              </w:rPr>
                              <w:t>pharmacokinetics (PK)</w:t>
                            </w:r>
                            <w:r w:rsidRPr="00436544">
                              <w:rPr>
                                <w:b w:val="0"/>
                                <w:bCs/>
                                <w:sz w:val="22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/>
                                <w:sz w:val="22"/>
                                <w:szCs w:val="20"/>
                                <w:lang w:val="en-GB"/>
                              </w:rPr>
                              <w:t>in the interstitial space fluid (ISF) of subcutaneous (</w:t>
                            </w:r>
                            <w:proofErr w:type="spellStart"/>
                            <w:r>
                              <w:rPr>
                                <w:b w:val="0"/>
                                <w:bCs/>
                                <w:sz w:val="22"/>
                                <w:szCs w:val="20"/>
                                <w:lang w:val="en-GB"/>
                              </w:rPr>
                              <w:t>s.c.</w:t>
                            </w:r>
                            <w:proofErr w:type="spellEnd"/>
                            <w:r>
                              <w:rPr>
                                <w:b w:val="0"/>
                                <w:bCs/>
                                <w:sz w:val="22"/>
                                <w:szCs w:val="20"/>
                                <w:lang w:val="en-GB"/>
                              </w:rPr>
                              <w:t>) adipose tissue (</w:t>
                            </w:r>
                            <w:proofErr w:type="gramStart"/>
                            <w:r>
                              <w:rPr>
                                <w:b w:val="0"/>
                                <w:bCs/>
                                <w:sz w:val="22"/>
                                <w:szCs w:val="20"/>
                                <w:lang w:val="en-GB"/>
                              </w:rPr>
                              <w:t>i.e.</w:t>
                            </w:r>
                            <w:proofErr w:type="gramEnd"/>
                            <w:r>
                              <w:rPr>
                                <w:b w:val="0"/>
                                <w:bCs/>
                                <w:sz w:val="22"/>
                                <w:szCs w:val="20"/>
                                <w:lang w:val="en-GB"/>
                              </w:rPr>
                              <w:t xml:space="preserve"> the target site for the treatment of SSTI) </w:t>
                            </w:r>
                            <w:r w:rsidRPr="00436544">
                              <w:rPr>
                                <w:b w:val="0"/>
                                <w:bCs/>
                                <w:sz w:val="22"/>
                                <w:szCs w:val="20"/>
                                <w:lang w:val="en-GB"/>
                              </w:rPr>
                              <w:t xml:space="preserve">in obese patients </w:t>
                            </w:r>
                            <w:r>
                              <w:rPr>
                                <w:b w:val="0"/>
                                <w:bCs/>
                                <w:sz w:val="22"/>
                                <w:szCs w:val="20"/>
                                <w:lang w:val="en-GB"/>
                              </w:rPr>
                              <w:t xml:space="preserve">are scarce. </w:t>
                            </w:r>
                            <w:r w:rsidRPr="00436544">
                              <w:rPr>
                                <w:b w:val="0"/>
                                <w:bCs/>
                                <w:sz w:val="22"/>
                                <w:szCs w:val="20"/>
                                <w:lang w:val="en-GB"/>
                              </w:rPr>
                              <w:t>The aim</w:t>
                            </w:r>
                            <w:r>
                              <w:rPr>
                                <w:b w:val="0"/>
                                <w:bCs/>
                                <w:sz w:val="22"/>
                                <w:szCs w:val="20"/>
                                <w:lang w:val="en-GB"/>
                              </w:rPr>
                              <w:t>s</w:t>
                            </w:r>
                            <w:r w:rsidRPr="00436544">
                              <w:rPr>
                                <w:b w:val="0"/>
                                <w:bCs/>
                                <w:sz w:val="22"/>
                                <w:szCs w:val="20"/>
                                <w:lang w:val="en-GB"/>
                              </w:rPr>
                              <w:t xml:space="preserve"> of this </w:t>
                            </w:r>
                            <w:r>
                              <w:rPr>
                                <w:b w:val="0"/>
                                <w:bCs/>
                                <w:sz w:val="22"/>
                                <w:szCs w:val="20"/>
                                <w:lang w:val="en-GB"/>
                              </w:rPr>
                              <w:t xml:space="preserve">model-based </w:t>
                            </w:r>
                            <w:r w:rsidRPr="00436544">
                              <w:rPr>
                                <w:b w:val="0"/>
                                <w:bCs/>
                                <w:sz w:val="22"/>
                                <w:szCs w:val="20"/>
                                <w:lang w:val="en-GB"/>
                              </w:rPr>
                              <w:t xml:space="preserve">analysis </w:t>
                            </w:r>
                            <w:r>
                              <w:rPr>
                                <w:b w:val="0"/>
                                <w:bCs/>
                                <w:sz w:val="22"/>
                                <w:szCs w:val="20"/>
                                <w:lang w:val="en-GB"/>
                              </w:rPr>
                              <w:t>were</w:t>
                            </w:r>
                            <w:r w:rsidRPr="00436544">
                              <w:rPr>
                                <w:b w:val="0"/>
                                <w:bCs/>
                                <w:sz w:val="22"/>
                                <w:szCs w:val="20"/>
                                <w:lang w:val="en-GB"/>
                              </w:rPr>
                              <w:t xml:space="preserve"> to</w:t>
                            </w:r>
                            <w:r>
                              <w:rPr>
                                <w:b w:val="0"/>
                                <w:bCs/>
                                <w:sz w:val="22"/>
                                <w:szCs w:val="20"/>
                                <w:lang w:val="en-GB"/>
                              </w:rPr>
                              <w:t xml:space="preserve"> quantify (</w:t>
                            </w:r>
                            <w:proofErr w:type="spellStart"/>
                            <w:r>
                              <w:rPr>
                                <w:b w:val="0"/>
                                <w:bCs/>
                                <w:sz w:val="22"/>
                                <w:szCs w:val="20"/>
                                <w:lang w:val="en-GB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b w:val="0"/>
                                <w:bCs/>
                                <w:sz w:val="22"/>
                                <w:szCs w:val="20"/>
                                <w:lang w:val="en-GB"/>
                              </w:rPr>
                              <w:t>) CEZ protein binding kinetics and (ii)</w:t>
                            </w:r>
                            <w:r w:rsidRPr="00436544">
                              <w:rPr>
                                <w:b w:val="0"/>
                                <w:bCs/>
                                <w:sz w:val="22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/>
                                <w:sz w:val="22"/>
                                <w:szCs w:val="20"/>
                                <w:lang w:val="en-GB"/>
                              </w:rPr>
                              <w:t xml:space="preserve">target-site penetration </w:t>
                            </w:r>
                            <w:r w:rsidRPr="00436544">
                              <w:rPr>
                                <w:b w:val="0"/>
                                <w:bCs/>
                                <w:sz w:val="22"/>
                                <w:szCs w:val="20"/>
                                <w:lang w:val="en-GB"/>
                              </w:rPr>
                              <w:t xml:space="preserve">in obese </w:t>
                            </w:r>
                            <w:r w:rsidRPr="005901D0">
                              <w:rPr>
                                <w:b w:val="0"/>
                                <w:bCs/>
                                <w:i/>
                                <w:sz w:val="22"/>
                                <w:szCs w:val="20"/>
                                <w:lang w:val="en-GB"/>
                              </w:rPr>
                              <w:t>versus</w:t>
                            </w:r>
                            <w:r w:rsidRPr="00436544">
                              <w:rPr>
                                <w:b w:val="0"/>
                                <w:bCs/>
                                <w:sz w:val="22"/>
                                <w:szCs w:val="20"/>
                                <w:lang w:val="en-GB"/>
                              </w:rPr>
                              <w:t xml:space="preserve"> nonobese surgical patient</w:t>
                            </w:r>
                            <w:r>
                              <w:rPr>
                                <w:b w:val="0"/>
                                <w:bCs/>
                                <w:sz w:val="22"/>
                                <w:szCs w:val="20"/>
                                <w:lang w:val="en-GB"/>
                              </w:rPr>
                              <w:t>s</w:t>
                            </w:r>
                            <w:r w:rsidRPr="00436544">
                              <w:rPr>
                                <w:b w:val="0"/>
                                <w:bCs/>
                                <w:sz w:val="22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  <w:p w14:paraId="09A7A08F" w14:textId="3DEF512B" w:rsidR="00F26469" w:rsidRPr="00377EF4" w:rsidRDefault="00F26469" w:rsidP="00F26469">
                            <w:pPr>
                              <w:pStyle w:val="Sections"/>
                              <w:rPr>
                                <w:sz w:val="22"/>
                                <w:szCs w:val="20"/>
                                <w:lang w:val="en-GB"/>
                              </w:rPr>
                            </w:pPr>
                            <w:r w:rsidRPr="00B07F70">
                              <w:rPr>
                                <w:sz w:val="22"/>
                                <w:szCs w:val="20"/>
                                <w:lang w:val="en-GB"/>
                              </w:rPr>
                              <w:t xml:space="preserve">Methods: </w:t>
                            </w:r>
                            <w:r>
                              <w:rPr>
                                <w:b w:val="0"/>
                                <w:sz w:val="22"/>
                                <w:szCs w:val="20"/>
                                <w:lang w:val="en-GB"/>
                              </w:rPr>
                              <w:t>Previously published d</w:t>
                            </w:r>
                            <w:r w:rsidRPr="00436544">
                              <w:rPr>
                                <w:b w:val="0"/>
                                <w:bCs/>
                                <w:sz w:val="22"/>
                                <w:szCs w:val="20"/>
                                <w:lang w:val="en-GB"/>
                              </w:rPr>
                              <w:t>ata</w:t>
                            </w:r>
                            <w:r>
                              <w:rPr>
                                <w:b w:val="0"/>
                                <w:bCs/>
                                <w:sz w:val="22"/>
                                <w:szCs w:val="20"/>
                                <w:lang w:val="en-GB"/>
                              </w:rPr>
                              <w:t xml:space="preserve"> [1,2]</w:t>
                            </w:r>
                            <w:r w:rsidRPr="00436544">
                              <w:rPr>
                                <w:b w:val="0"/>
                                <w:bCs/>
                                <w:sz w:val="22"/>
                                <w:szCs w:val="20"/>
                                <w:lang w:val="en-GB"/>
                              </w:rPr>
                              <w:t xml:space="preserve"> from 15 obese (</w:t>
                            </w:r>
                            <w:proofErr w:type="spellStart"/>
                            <w:r w:rsidRPr="00436544">
                              <w:rPr>
                                <w:b w:val="0"/>
                                <w:bCs/>
                                <w:sz w:val="22"/>
                                <w:szCs w:val="20"/>
                                <w:lang w:val="en-GB"/>
                              </w:rPr>
                              <w:t>BMI</w:t>
                            </w:r>
                            <w:r w:rsidRPr="00430171">
                              <w:rPr>
                                <w:b w:val="0"/>
                                <w:bCs/>
                                <w:sz w:val="22"/>
                                <w:szCs w:val="20"/>
                                <w:vertAlign w:val="subscript"/>
                                <w:lang w:val="en-GB"/>
                              </w:rPr>
                              <w:t>median</w:t>
                            </w:r>
                            <w:proofErr w:type="spellEnd"/>
                            <w:r w:rsidRPr="00436544">
                              <w:rPr>
                                <w:b w:val="0"/>
                                <w:bCs/>
                                <w:sz w:val="22"/>
                                <w:szCs w:val="20"/>
                                <w:lang w:val="en-GB"/>
                              </w:rPr>
                              <w:t>=</w:t>
                            </w:r>
                            <w:r>
                              <w:rPr>
                                <w:b w:val="0"/>
                                <w:bCs/>
                                <w:sz w:val="22"/>
                                <w:szCs w:val="20"/>
                                <w:lang w:val="en-GB"/>
                              </w:rPr>
                              <w:t>52.6</w:t>
                            </w:r>
                            <w:r w:rsidRPr="00436544">
                              <w:rPr>
                                <w:b w:val="0"/>
                                <w:bCs/>
                                <w:sz w:val="22"/>
                                <w:szCs w:val="20"/>
                                <w:lang w:val="en-GB"/>
                              </w:rPr>
                              <w:t xml:space="preserve"> kg/m</w:t>
                            </w:r>
                            <w:r w:rsidRPr="005901D0">
                              <w:rPr>
                                <w:b w:val="0"/>
                                <w:bCs/>
                                <w:sz w:val="22"/>
                                <w:szCs w:val="20"/>
                                <w:vertAlign w:val="superscript"/>
                                <w:lang w:val="en-GB"/>
                              </w:rPr>
                              <w:t>2</w:t>
                            </w:r>
                            <w:r w:rsidRPr="00436544">
                              <w:rPr>
                                <w:b w:val="0"/>
                                <w:bCs/>
                                <w:sz w:val="22"/>
                                <w:szCs w:val="20"/>
                                <w:lang w:val="en-GB"/>
                              </w:rPr>
                              <w:t>) and 15 nonobese patients (</w:t>
                            </w:r>
                            <w:proofErr w:type="spellStart"/>
                            <w:r w:rsidRPr="00436544">
                              <w:rPr>
                                <w:b w:val="0"/>
                                <w:bCs/>
                                <w:sz w:val="22"/>
                                <w:szCs w:val="20"/>
                                <w:lang w:val="en-GB"/>
                              </w:rPr>
                              <w:t>BMI</w:t>
                            </w:r>
                            <w:r w:rsidRPr="00430171">
                              <w:rPr>
                                <w:b w:val="0"/>
                                <w:bCs/>
                                <w:sz w:val="22"/>
                                <w:szCs w:val="20"/>
                                <w:vertAlign w:val="subscript"/>
                                <w:lang w:val="en-GB"/>
                              </w:rPr>
                              <w:t>median</w:t>
                            </w:r>
                            <w:proofErr w:type="spellEnd"/>
                            <w:r w:rsidRPr="00436544">
                              <w:rPr>
                                <w:b w:val="0"/>
                                <w:bCs/>
                                <w:sz w:val="22"/>
                                <w:szCs w:val="20"/>
                                <w:lang w:val="en-GB"/>
                              </w:rPr>
                              <w:t>=</w:t>
                            </w:r>
                            <w:r>
                              <w:rPr>
                                <w:b w:val="0"/>
                                <w:bCs/>
                                <w:sz w:val="22"/>
                                <w:szCs w:val="20"/>
                                <w:lang w:val="en-GB"/>
                              </w:rPr>
                              <w:t>26.0</w:t>
                            </w:r>
                            <w:r w:rsidRPr="00436544">
                              <w:rPr>
                                <w:b w:val="0"/>
                                <w:bCs/>
                                <w:sz w:val="22"/>
                                <w:szCs w:val="20"/>
                                <w:lang w:val="en-GB"/>
                              </w:rPr>
                              <w:t xml:space="preserve"> kg/m</w:t>
                            </w:r>
                            <w:r w:rsidRPr="005901D0">
                              <w:rPr>
                                <w:b w:val="0"/>
                                <w:bCs/>
                                <w:sz w:val="22"/>
                                <w:szCs w:val="20"/>
                                <w:vertAlign w:val="superscript"/>
                                <w:lang w:val="en-GB"/>
                              </w:rPr>
                              <w:t>2</w:t>
                            </w:r>
                            <w:r w:rsidRPr="00436544">
                              <w:rPr>
                                <w:b w:val="0"/>
                                <w:bCs/>
                                <w:sz w:val="22"/>
                                <w:szCs w:val="20"/>
                                <w:lang w:val="en-GB"/>
                              </w:rPr>
                              <w:t xml:space="preserve">), receiving a single dose of </w:t>
                            </w:r>
                            <w:r>
                              <w:rPr>
                                <w:b w:val="0"/>
                                <w:bCs/>
                                <w:sz w:val="22"/>
                                <w:szCs w:val="20"/>
                                <w:lang w:val="en-GB"/>
                              </w:rPr>
                              <w:t>2</w:t>
                            </w:r>
                            <w:r w:rsidRPr="00436544">
                              <w:rPr>
                                <w:b w:val="0"/>
                                <w:bCs/>
                                <w:sz w:val="22"/>
                                <w:szCs w:val="20"/>
                                <w:lang w:val="en-GB"/>
                              </w:rPr>
                              <w:t xml:space="preserve">000 mg </w:t>
                            </w:r>
                            <w:r>
                              <w:rPr>
                                <w:b w:val="0"/>
                                <w:bCs/>
                                <w:sz w:val="22"/>
                                <w:szCs w:val="20"/>
                                <w:lang w:val="en-GB"/>
                              </w:rPr>
                              <w:t>CEZ</w:t>
                            </w:r>
                            <w:r w:rsidRPr="00436544">
                              <w:rPr>
                                <w:b w:val="0"/>
                                <w:bCs/>
                                <w:sz w:val="22"/>
                                <w:szCs w:val="20"/>
                                <w:lang w:val="en-GB"/>
                              </w:rPr>
                              <w:t xml:space="preserve"> (30-min intravenously) for infection prophylaxis before abdominal surgery, were included in the analysis</w:t>
                            </w:r>
                            <w:r>
                              <w:rPr>
                                <w:b w:val="0"/>
                                <w:bCs/>
                                <w:sz w:val="22"/>
                                <w:szCs w:val="20"/>
                                <w:lang w:val="en-GB"/>
                              </w:rPr>
                              <w:t xml:space="preserve"> [1,3]</w:t>
                            </w:r>
                            <w:r w:rsidRPr="00436544">
                              <w:rPr>
                                <w:b w:val="0"/>
                                <w:bCs/>
                                <w:sz w:val="22"/>
                                <w:szCs w:val="20"/>
                                <w:lang w:val="en-GB"/>
                              </w:rPr>
                              <w:t xml:space="preserve">. Rich PK sampling was </w:t>
                            </w:r>
                            <w:r>
                              <w:rPr>
                                <w:b w:val="0"/>
                                <w:bCs/>
                                <w:sz w:val="22"/>
                                <w:szCs w:val="20"/>
                                <w:lang w:val="en-GB"/>
                              </w:rPr>
                              <w:t>available</w:t>
                            </w:r>
                            <w:r w:rsidRPr="00436544">
                              <w:rPr>
                                <w:b w:val="0"/>
                                <w:bCs/>
                                <w:sz w:val="22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/>
                                <w:sz w:val="22"/>
                                <w:szCs w:val="20"/>
                                <w:lang w:val="en-GB"/>
                              </w:rPr>
                              <w:t>over</w:t>
                            </w:r>
                            <w:r w:rsidRPr="00436544">
                              <w:rPr>
                                <w:b w:val="0"/>
                                <w:bCs/>
                                <w:sz w:val="22"/>
                                <w:szCs w:val="20"/>
                                <w:lang w:val="en-GB"/>
                              </w:rPr>
                              <w:t xml:space="preserve"> 8 h in plasma (</w:t>
                            </w:r>
                            <w:proofErr w:type="spellStart"/>
                            <w:r w:rsidRPr="00436544">
                              <w:rPr>
                                <w:b w:val="0"/>
                                <w:bCs/>
                                <w:sz w:val="22"/>
                                <w:szCs w:val="20"/>
                                <w:lang w:val="en-GB"/>
                              </w:rPr>
                              <w:t>n</w:t>
                            </w:r>
                            <w:r w:rsidRPr="005901D0">
                              <w:rPr>
                                <w:b w:val="0"/>
                                <w:bCs/>
                                <w:sz w:val="22"/>
                                <w:szCs w:val="20"/>
                                <w:vertAlign w:val="subscript"/>
                                <w:lang w:val="en-GB"/>
                              </w:rPr>
                              <w:t>total</w:t>
                            </w:r>
                            <w:proofErr w:type="spellEnd"/>
                            <w:r w:rsidRPr="00436544">
                              <w:rPr>
                                <w:b w:val="0"/>
                                <w:bCs/>
                                <w:sz w:val="22"/>
                                <w:szCs w:val="20"/>
                                <w:lang w:val="en-GB"/>
                              </w:rPr>
                              <w:t>=</w:t>
                            </w:r>
                            <w:r>
                              <w:rPr>
                                <w:b w:val="0"/>
                                <w:bCs/>
                                <w:sz w:val="22"/>
                                <w:szCs w:val="20"/>
                                <w:lang w:val="en-GB"/>
                              </w:rPr>
                              <w:t>240</w:t>
                            </w:r>
                            <w:r w:rsidRPr="00436544">
                              <w:rPr>
                                <w:b w:val="0"/>
                                <w:bCs/>
                                <w:sz w:val="22"/>
                                <w:szCs w:val="20"/>
                                <w:lang w:val="en-GB"/>
                              </w:rPr>
                              <w:t xml:space="preserve">) and via </w:t>
                            </w:r>
                            <w:proofErr w:type="spellStart"/>
                            <w:r w:rsidRPr="00436544">
                              <w:rPr>
                                <w:b w:val="0"/>
                                <w:bCs/>
                                <w:sz w:val="22"/>
                                <w:szCs w:val="20"/>
                                <w:lang w:val="en-GB"/>
                              </w:rPr>
                              <w:t>microdialysis</w:t>
                            </w:r>
                            <w:proofErr w:type="spellEnd"/>
                            <w:r w:rsidRPr="00436544">
                              <w:rPr>
                                <w:b w:val="0"/>
                                <w:bCs/>
                                <w:sz w:val="22"/>
                                <w:szCs w:val="20"/>
                                <w:lang w:val="en-GB"/>
                              </w:rPr>
                              <w:t xml:space="preserve"> in the ISF of </w:t>
                            </w:r>
                            <w:proofErr w:type="spellStart"/>
                            <w:r>
                              <w:rPr>
                                <w:b w:val="0"/>
                                <w:bCs/>
                                <w:sz w:val="22"/>
                                <w:szCs w:val="20"/>
                                <w:lang w:val="en-GB"/>
                              </w:rPr>
                              <w:t>s.c.</w:t>
                            </w:r>
                            <w:proofErr w:type="spellEnd"/>
                            <w:r>
                              <w:rPr>
                                <w:b w:val="0"/>
                                <w:bCs/>
                                <w:sz w:val="22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436544">
                              <w:rPr>
                                <w:b w:val="0"/>
                                <w:bCs/>
                                <w:sz w:val="22"/>
                                <w:szCs w:val="20"/>
                                <w:lang w:val="en-GB"/>
                              </w:rPr>
                              <w:t>adipose tissue (</w:t>
                            </w:r>
                            <w:proofErr w:type="spellStart"/>
                            <w:r w:rsidRPr="00436544">
                              <w:rPr>
                                <w:b w:val="0"/>
                                <w:bCs/>
                                <w:sz w:val="22"/>
                                <w:szCs w:val="20"/>
                                <w:lang w:val="en-GB"/>
                              </w:rPr>
                              <w:t>n</w:t>
                            </w:r>
                            <w:r w:rsidRPr="005901D0">
                              <w:rPr>
                                <w:b w:val="0"/>
                                <w:bCs/>
                                <w:sz w:val="22"/>
                                <w:szCs w:val="20"/>
                                <w:vertAlign w:val="subscript"/>
                                <w:lang w:val="en-GB"/>
                              </w:rPr>
                              <w:t>total</w:t>
                            </w:r>
                            <w:proofErr w:type="spellEnd"/>
                            <w:r w:rsidRPr="00436544">
                              <w:rPr>
                                <w:b w:val="0"/>
                                <w:bCs/>
                                <w:sz w:val="22"/>
                                <w:szCs w:val="20"/>
                                <w:lang w:val="en-GB"/>
                              </w:rPr>
                              <w:t>=</w:t>
                            </w:r>
                            <w:r>
                              <w:rPr>
                                <w:b w:val="0"/>
                                <w:bCs/>
                                <w:sz w:val="22"/>
                                <w:szCs w:val="20"/>
                                <w:lang w:val="en-GB"/>
                              </w:rPr>
                              <w:t>591</w:t>
                            </w:r>
                            <w:r w:rsidRPr="00436544">
                              <w:rPr>
                                <w:b w:val="0"/>
                                <w:bCs/>
                                <w:sz w:val="22"/>
                                <w:szCs w:val="20"/>
                                <w:lang w:val="en-GB"/>
                              </w:rPr>
                              <w:t>).</w:t>
                            </w:r>
                            <w:r>
                              <w:rPr>
                                <w:b w:val="0"/>
                                <w:bCs/>
                                <w:sz w:val="22"/>
                                <w:szCs w:val="20"/>
                                <w:lang w:val="en-GB"/>
                              </w:rPr>
                              <w:t xml:space="preserve"> Plasma samples were additionally subjected to ultrafiltration to measure unbound CEZ concentration </w:t>
                            </w:r>
                            <w:r w:rsidRPr="00436544">
                              <w:rPr>
                                <w:b w:val="0"/>
                                <w:bCs/>
                                <w:sz w:val="22"/>
                                <w:szCs w:val="20"/>
                                <w:lang w:val="en-GB"/>
                              </w:rPr>
                              <w:t>(</w:t>
                            </w:r>
                            <w:proofErr w:type="spellStart"/>
                            <w:r w:rsidRPr="00436544">
                              <w:rPr>
                                <w:b w:val="0"/>
                                <w:bCs/>
                                <w:sz w:val="22"/>
                                <w:szCs w:val="20"/>
                                <w:lang w:val="en-GB"/>
                              </w:rPr>
                              <w:t>n</w:t>
                            </w:r>
                            <w:r w:rsidRPr="005901D0">
                              <w:rPr>
                                <w:b w:val="0"/>
                                <w:bCs/>
                                <w:sz w:val="22"/>
                                <w:szCs w:val="20"/>
                                <w:vertAlign w:val="subscript"/>
                                <w:lang w:val="en-GB"/>
                              </w:rPr>
                              <w:t>total</w:t>
                            </w:r>
                            <w:proofErr w:type="spellEnd"/>
                            <w:r w:rsidRPr="00436544">
                              <w:rPr>
                                <w:b w:val="0"/>
                                <w:bCs/>
                                <w:sz w:val="22"/>
                                <w:szCs w:val="20"/>
                                <w:lang w:val="en-GB"/>
                              </w:rPr>
                              <w:t>=</w:t>
                            </w:r>
                            <w:r>
                              <w:rPr>
                                <w:b w:val="0"/>
                                <w:bCs/>
                                <w:sz w:val="22"/>
                                <w:szCs w:val="20"/>
                                <w:lang w:val="en-GB"/>
                              </w:rPr>
                              <w:t>120</w:t>
                            </w:r>
                            <w:r w:rsidRPr="00436544">
                              <w:rPr>
                                <w:b w:val="0"/>
                                <w:bCs/>
                                <w:sz w:val="22"/>
                                <w:szCs w:val="20"/>
                                <w:lang w:val="en-GB"/>
                              </w:rPr>
                              <w:t>)</w:t>
                            </w:r>
                            <w:r>
                              <w:rPr>
                                <w:b w:val="0"/>
                                <w:bCs/>
                                <w:sz w:val="22"/>
                                <w:szCs w:val="20"/>
                                <w:lang w:val="en-GB"/>
                              </w:rPr>
                              <w:t>. Nonlinear mixed-</w:t>
                            </w:r>
                            <w:r w:rsidRPr="00436544">
                              <w:rPr>
                                <w:b w:val="0"/>
                                <w:bCs/>
                                <w:sz w:val="22"/>
                                <w:szCs w:val="20"/>
                                <w:lang w:val="en-GB"/>
                              </w:rPr>
                              <w:t xml:space="preserve">effects (NLME) PK modelling was </w:t>
                            </w:r>
                            <w:r>
                              <w:rPr>
                                <w:b w:val="0"/>
                                <w:bCs/>
                                <w:sz w:val="22"/>
                                <w:szCs w:val="20"/>
                                <w:lang w:val="en-GB"/>
                              </w:rPr>
                              <w:t>applied</w:t>
                            </w:r>
                            <w:r w:rsidRPr="00436544">
                              <w:rPr>
                                <w:b w:val="0"/>
                                <w:bCs/>
                                <w:sz w:val="22"/>
                                <w:szCs w:val="20"/>
                                <w:lang w:val="en-GB"/>
                              </w:rPr>
                              <w:t xml:space="preserve"> to </w:t>
                            </w:r>
                            <w:r>
                              <w:rPr>
                                <w:b w:val="0"/>
                                <w:bCs/>
                                <w:sz w:val="22"/>
                                <w:szCs w:val="20"/>
                                <w:lang w:val="en-GB"/>
                              </w:rPr>
                              <w:t>characterise</w:t>
                            </w:r>
                            <w:r w:rsidRPr="00436544">
                              <w:rPr>
                                <w:b w:val="0"/>
                                <w:bCs/>
                                <w:sz w:val="22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/>
                                <w:sz w:val="22"/>
                                <w:szCs w:val="20"/>
                                <w:lang w:val="en-GB"/>
                              </w:rPr>
                              <w:t xml:space="preserve">CEZ protein binding kinetics and to evaluate </w:t>
                            </w:r>
                            <w:r w:rsidRPr="00436544">
                              <w:rPr>
                                <w:b w:val="0"/>
                                <w:bCs/>
                                <w:sz w:val="22"/>
                                <w:szCs w:val="20"/>
                                <w:lang w:val="en-GB"/>
                              </w:rPr>
                              <w:t xml:space="preserve">differences in </w:t>
                            </w:r>
                            <w:r>
                              <w:rPr>
                                <w:b w:val="0"/>
                                <w:bCs/>
                                <w:sz w:val="22"/>
                                <w:szCs w:val="20"/>
                                <w:lang w:val="en-GB"/>
                              </w:rPr>
                              <w:t xml:space="preserve">target-site penetration index, as </w:t>
                            </w:r>
                            <w:r w:rsidRPr="004500E2">
                              <w:rPr>
                                <w:b w:val="0"/>
                                <w:bCs/>
                                <w:sz w:val="22"/>
                                <w:szCs w:val="20"/>
                                <w:lang w:val="en-GB"/>
                              </w:rPr>
                              <w:t>the ratio of unbound</w:t>
                            </w:r>
                            <w:r>
                              <w:rPr>
                                <w:b w:val="0"/>
                                <w:bCs/>
                                <w:sz w:val="22"/>
                                <w:szCs w:val="20"/>
                                <w:lang w:val="en-GB"/>
                              </w:rPr>
                              <w:t xml:space="preserve"> CEZ</w:t>
                            </w:r>
                            <w:r w:rsidRPr="004500E2">
                              <w:rPr>
                                <w:b w:val="0"/>
                                <w:bCs/>
                                <w:sz w:val="22"/>
                                <w:szCs w:val="20"/>
                                <w:lang w:val="en-GB"/>
                              </w:rPr>
                              <w:t xml:space="preserve"> AUC</w:t>
                            </w:r>
                            <w:r w:rsidRPr="004500E2">
                              <w:rPr>
                                <w:b w:val="0"/>
                                <w:bCs/>
                                <w:sz w:val="22"/>
                                <w:szCs w:val="20"/>
                                <w:vertAlign w:val="subscript"/>
                                <w:lang w:val="en-GB"/>
                              </w:rPr>
                              <w:t>0-8h</w:t>
                            </w:r>
                            <w:r w:rsidRPr="004500E2">
                              <w:rPr>
                                <w:b w:val="0"/>
                                <w:bCs/>
                                <w:sz w:val="22"/>
                                <w:szCs w:val="20"/>
                                <w:lang w:val="en-GB"/>
                              </w:rPr>
                              <w:t xml:space="preserve"> in </w:t>
                            </w:r>
                            <w:proofErr w:type="spellStart"/>
                            <w:r w:rsidRPr="004500E2">
                              <w:rPr>
                                <w:b w:val="0"/>
                                <w:bCs/>
                                <w:sz w:val="22"/>
                                <w:szCs w:val="20"/>
                                <w:lang w:val="en-GB"/>
                              </w:rPr>
                              <w:t>target-</w:t>
                            </w:r>
                            <w:proofErr w:type="gramStart"/>
                            <w:r w:rsidRPr="004500E2">
                              <w:rPr>
                                <w:b w:val="0"/>
                                <w:bCs/>
                                <w:sz w:val="22"/>
                                <w:szCs w:val="20"/>
                                <w:lang w:val="en-GB"/>
                              </w:rPr>
                              <w:t>site:plasma</w:t>
                            </w:r>
                            <w:proofErr w:type="spellEnd"/>
                            <w:proofErr w:type="gramEnd"/>
                            <w:r w:rsidRPr="004500E2">
                              <w:rPr>
                                <w:b w:val="0"/>
                                <w:bCs/>
                                <w:sz w:val="22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/>
                                <w:sz w:val="22"/>
                                <w:szCs w:val="20"/>
                                <w:lang w:val="en-GB"/>
                              </w:rPr>
                              <w:t>(PI=</w:t>
                            </w:r>
                            <w:proofErr w:type="spellStart"/>
                            <w:r w:rsidRPr="00DF2DF6">
                              <w:rPr>
                                <w:b w:val="0"/>
                                <w:bCs/>
                                <w:i/>
                                <w:sz w:val="22"/>
                                <w:szCs w:val="20"/>
                                <w:lang w:val="en-GB"/>
                              </w:rPr>
                              <w:t>f</w:t>
                            </w:r>
                            <w:r w:rsidRPr="00DF2DF6">
                              <w:rPr>
                                <w:b w:val="0"/>
                                <w:bCs/>
                                <w:sz w:val="22"/>
                                <w:szCs w:val="20"/>
                                <w:lang w:val="en-GB"/>
                              </w:rPr>
                              <w:t>AUC</w:t>
                            </w:r>
                            <w:r>
                              <w:rPr>
                                <w:b w:val="0"/>
                                <w:bCs/>
                                <w:sz w:val="22"/>
                                <w:szCs w:val="20"/>
                                <w:vertAlign w:val="subscript"/>
                                <w:lang w:val="en-GB"/>
                              </w:rPr>
                              <w:t>target</w:t>
                            </w:r>
                            <w:proofErr w:type="spellEnd"/>
                            <w:r>
                              <w:rPr>
                                <w:b w:val="0"/>
                                <w:bCs/>
                                <w:sz w:val="22"/>
                                <w:szCs w:val="20"/>
                                <w:vertAlign w:val="subscript"/>
                                <w:lang w:val="en-GB"/>
                              </w:rPr>
                              <w:t>, 0</w:t>
                            </w:r>
                            <w:r>
                              <w:rPr>
                                <w:b w:val="0"/>
                                <w:bCs/>
                                <w:sz w:val="22"/>
                                <w:szCs w:val="20"/>
                                <w:vertAlign w:val="subscript"/>
                                <w:lang w:val="en-GB"/>
                              </w:rPr>
                              <w:noBreakHyphen/>
                            </w:r>
                            <w:r w:rsidRPr="004500E2">
                              <w:rPr>
                                <w:b w:val="0"/>
                                <w:bCs/>
                                <w:sz w:val="22"/>
                                <w:szCs w:val="20"/>
                                <w:vertAlign w:val="subscript"/>
                                <w:lang w:val="en-GB"/>
                              </w:rPr>
                              <w:t>8h</w:t>
                            </w:r>
                            <w:r w:rsidRPr="00DF2DF6">
                              <w:rPr>
                                <w:b w:val="0"/>
                                <w:bCs/>
                                <w:sz w:val="22"/>
                                <w:szCs w:val="20"/>
                                <w:lang w:val="en-GB"/>
                              </w:rPr>
                              <w:t>/</w:t>
                            </w:r>
                            <w:proofErr w:type="spellStart"/>
                            <w:r w:rsidRPr="00DF2DF6">
                              <w:rPr>
                                <w:b w:val="0"/>
                                <w:bCs/>
                                <w:i/>
                                <w:sz w:val="22"/>
                                <w:szCs w:val="20"/>
                                <w:lang w:val="en-GB"/>
                              </w:rPr>
                              <w:t>f</w:t>
                            </w:r>
                            <w:r w:rsidRPr="00DF2DF6">
                              <w:rPr>
                                <w:b w:val="0"/>
                                <w:bCs/>
                                <w:sz w:val="22"/>
                                <w:szCs w:val="20"/>
                                <w:lang w:val="en-GB"/>
                              </w:rPr>
                              <w:t>AUC</w:t>
                            </w:r>
                            <w:r w:rsidRPr="00DF2DF6">
                              <w:rPr>
                                <w:b w:val="0"/>
                                <w:bCs/>
                                <w:sz w:val="22"/>
                                <w:szCs w:val="20"/>
                                <w:vertAlign w:val="subscript"/>
                                <w:lang w:val="en-GB"/>
                              </w:rPr>
                              <w:t>pla</w:t>
                            </w:r>
                            <w:proofErr w:type="spellEnd"/>
                            <w:r>
                              <w:rPr>
                                <w:b w:val="0"/>
                                <w:bCs/>
                                <w:sz w:val="22"/>
                                <w:szCs w:val="20"/>
                                <w:vertAlign w:val="subscript"/>
                                <w:lang w:val="en-GB"/>
                              </w:rPr>
                              <w:t>, </w:t>
                            </w:r>
                            <w:r w:rsidRPr="004500E2">
                              <w:rPr>
                                <w:b w:val="0"/>
                                <w:bCs/>
                                <w:sz w:val="22"/>
                                <w:szCs w:val="20"/>
                                <w:vertAlign w:val="subscript"/>
                                <w:lang w:val="en-GB"/>
                              </w:rPr>
                              <w:t>0-8h</w:t>
                            </w:r>
                            <w:r>
                              <w:rPr>
                                <w:b w:val="0"/>
                                <w:bCs/>
                                <w:sz w:val="22"/>
                                <w:szCs w:val="20"/>
                                <w:lang w:val="en-GB"/>
                              </w:rPr>
                              <w:t>)</w:t>
                            </w:r>
                            <w:r>
                              <w:rPr>
                                <w:b w:val="0"/>
                                <w:bCs/>
                                <w:sz w:val="22"/>
                                <w:szCs w:val="20"/>
                                <w:vertAlign w:val="subscript"/>
                                <w:lang w:val="en-GB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/>
                                <w:sz w:val="22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436544">
                              <w:rPr>
                                <w:b w:val="0"/>
                                <w:bCs/>
                                <w:sz w:val="22"/>
                                <w:szCs w:val="20"/>
                                <w:lang w:val="en-GB"/>
                              </w:rPr>
                              <w:t>between patient groups.</w:t>
                            </w:r>
                            <w:r>
                              <w:rPr>
                                <w:b w:val="0"/>
                                <w:bCs/>
                                <w:sz w:val="22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  <w:p w14:paraId="71536561" w14:textId="77777777" w:rsidR="00F26469" w:rsidRPr="00B07F70" w:rsidRDefault="00F26469" w:rsidP="00F26469">
                            <w:pPr>
                              <w:pStyle w:val="Sections"/>
                              <w:rPr>
                                <w:sz w:val="22"/>
                                <w:szCs w:val="20"/>
                                <w:lang w:val="en-GB"/>
                              </w:rPr>
                            </w:pPr>
                            <w:r w:rsidRPr="00B07F70">
                              <w:rPr>
                                <w:sz w:val="22"/>
                                <w:szCs w:val="20"/>
                                <w:lang w:val="en-GB"/>
                              </w:rPr>
                              <w:t>Results:</w:t>
                            </w:r>
                            <w:r>
                              <w:rPr>
                                <w:sz w:val="22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/>
                                <w:sz w:val="22"/>
                                <w:szCs w:val="20"/>
                                <w:lang w:val="en-GB"/>
                              </w:rPr>
                              <w:t>Preliminary results by a two-compartment (target-site concentrations attributed to the peripheral compartment) NLME PK model with interindividual variability on clearance and the central volume of distribution suggested that CEZ exhibits saturable protein binding, with a maximum binding capacity (B</w:t>
                            </w:r>
                            <w:r w:rsidRPr="002A3B9A">
                              <w:rPr>
                                <w:b w:val="0"/>
                                <w:bCs/>
                                <w:sz w:val="22"/>
                                <w:szCs w:val="20"/>
                                <w:vertAlign w:val="subscript"/>
                                <w:lang w:val="en-GB"/>
                              </w:rPr>
                              <w:t>max</w:t>
                            </w:r>
                            <w:r>
                              <w:rPr>
                                <w:b w:val="0"/>
                                <w:bCs/>
                                <w:sz w:val="22"/>
                                <w:szCs w:val="20"/>
                                <w:lang w:val="en-GB"/>
                              </w:rPr>
                              <w:t>) of 234 mg/L and dissociation constant (K</w:t>
                            </w:r>
                            <w:r w:rsidRPr="002A3B9A">
                              <w:rPr>
                                <w:b w:val="0"/>
                                <w:bCs/>
                                <w:sz w:val="22"/>
                                <w:szCs w:val="20"/>
                                <w:vertAlign w:val="subscript"/>
                                <w:lang w:val="en-GB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/>
                                <w:sz w:val="22"/>
                                <w:szCs w:val="20"/>
                                <w:lang w:val="en-GB"/>
                              </w:rPr>
                              <w:t>) of 60.6 mg/L. Precision of the parameter estimates was high (relative standard error≤27.9%) and PI</w:t>
                            </w:r>
                            <w:r w:rsidRPr="004500E2">
                              <w:t xml:space="preserve"> </w:t>
                            </w:r>
                            <w:r>
                              <w:rPr>
                                <w:b w:val="0"/>
                                <w:bCs/>
                                <w:sz w:val="22"/>
                                <w:szCs w:val="20"/>
                                <w:lang w:val="en-GB"/>
                              </w:rPr>
                              <w:t>appeared</w:t>
                            </w:r>
                            <w:r w:rsidRPr="004500E2">
                              <w:rPr>
                                <w:b w:val="0"/>
                                <w:bCs/>
                                <w:sz w:val="22"/>
                                <w:szCs w:val="20"/>
                                <w:lang w:val="en-GB"/>
                              </w:rPr>
                              <w:t xml:space="preserve"> lower in obese (</w:t>
                            </w:r>
                            <w:proofErr w:type="spellStart"/>
                            <w:r w:rsidRPr="004500E2">
                              <w:rPr>
                                <w:b w:val="0"/>
                                <w:bCs/>
                                <w:sz w:val="22"/>
                                <w:szCs w:val="20"/>
                                <w:lang w:val="en-GB"/>
                              </w:rPr>
                              <w:t>PI</w:t>
                            </w:r>
                            <w:r>
                              <w:rPr>
                                <w:b w:val="0"/>
                                <w:bCs/>
                                <w:sz w:val="22"/>
                                <w:szCs w:val="20"/>
                                <w:vertAlign w:val="subscript"/>
                                <w:lang w:val="en-GB"/>
                              </w:rPr>
                              <w:t>median</w:t>
                            </w:r>
                            <w:proofErr w:type="spellEnd"/>
                            <w:r w:rsidRPr="004500E2">
                              <w:rPr>
                                <w:b w:val="0"/>
                                <w:bCs/>
                                <w:sz w:val="22"/>
                                <w:szCs w:val="20"/>
                                <w:lang w:val="en-GB"/>
                              </w:rPr>
                              <w:t>=0.</w:t>
                            </w:r>
                            <w:r w:rsidRPr="00BA55C0">
                              <w:rPr>
                                <w:b w:val="0"/>
                                <w:bCs/>
                                <w:sz w:val="22"/>
                                <w:szCs w:val="20"/>
                                <w:lang w:val="en-GB"/>
                              </w:rPr>
                              <w:t>576</w:t>
                            </w:r>
                            <w:r>
                              <w:rPr>
                                <w:b w:val="0"/>
                                <w:bCs/>
                                <w:sz w:val="22"/>
                                <w:szCs w:val="20"/>
                                <w:lang w:val="en-GB"/>
                              </w:rPr>
                              <w:t>, range=</w:t>
                            </w:r>
                            <w:r w:rsidRPr="00BA55C0">
                              <w:rPr>
                                <w:b w:val="0"/>
                                <w:bCs/>
                                <w:sz w:val="22"/>
                                <w:szCs w:val="20"/>
                                <w:lang w:val="en-GB"/>
                              </w:rPr>
                              <w:t>0.464-0.717</w:t>
                            </w:r>
                            <w:r w:rsidRPr="004500E2">
                              <w:rPr>
                                <w:b w:val="0"/>
                                <w:bCs/>
                                <w:sz w:val="22"/>
                                <w:szCs w:val="20"/>
                                <w:lang w:val="en-GB"/>
                              </w:rPr>
                              <w:t xml:space="preserve">) </w:t>
                            </w:r>
                            <w:r w:rsidRPr="004500E2">
                              <w:rPr>
                                <w:b w:val="0"/>
                                <w:bCs/>
                                <w:i/>
                                <w:sz w:val="22"/>
                                <w:szCs w:val="20"/>
                                <w:lang w:val="en-GB"/>
                              </w:rPr>
                              <w:t>versus</w:t>
                            </w:r>
                            <w:r w:rsidRPr="004500E2">
                              <w:rPr>
                                <w:b w:val="0"/>
                                <w:bCs/>
                                <w:sz w:val="22"/>
                                <w:szCs w:val="20"/>
                                <w:lang w:val="en-GB"/>
                              </w:rPr>
                              <w:t xml:space="preserve"> nonobese patients (</w:t>
                            </w:r>
                            <w:proofErr w:type="spellStart"/>
                            <w:r w:rsidRPr="004500E2">
                              <w:rPr>
                                <w:b w:val="0"/>
                                <w:bCs/>
                                <w:sz w:val="22"/>
                                <w:szCs w:val="20"/>
                                <w:lang w:val="en-GB"/>
                              </w:rPr>
                              <w:t>PI</w:t>
                            </w:r>
                            <w:r>
                              <w:rPr>
                                <w:b w:val="0"/>
                                <w:bCs/>
                                <w:sz w:val="22"/>
                                <w:szCs w:val="20"/>
                                <w:vertAlign w:val="subscript"/>
                                <w:lang w:val="en-GB"/>
                              </w:rPr>
                              <w:t>median</w:t>
                            </w:r>
                            <w:proofErr w:type="spellEnd"/>
                            <w:r w:rsidRPr="004500E2">
                              <w:rPr>
                                <w:b w:val="0"/>
                                <w:bCs/>
                                <w:sz w:val="22"/>
                                <w:szCs w:val="20"/>
                                <w:lang w:val="en-GB"/>
                              </w:rPr>
                              <w:t>=</w:t>
                            </w:r>
                            <w:r w:rsidRPr="00BA55C0">
                              <w:rPr>
                                <w:b w:val="0"/>
                                <w:bCs/>
                                <w:sz w:val="22"/>
                                <w:szCs w:val="20"/>
                                <w:lang w:val="en-GB"/>
                              </w:rPr>
                              <w:t>0.651</w:t>
                            </w:r>
                            <w:r w:rsidRPr="004500E2">
                              <w:rPr>
                                <w:b w:val="0"/>
                                <w:bCs/>
                                <w:sz w:val="22"/>
                                <w:szCs w:val="20"/>
                                <w:lang w:val="en-GB"/>
                              </w:rPr>
                              <w:t>,</w:t>
                            </w:r>
                            <w:r w:rsidRPr="00BA55C0">
                              <w:rPr>
                                <w:b w:val="0"/>
                                <w:bCs/>
                                <w:sz w:val="22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/>
                                <w:sz w:val="22"/>
                                <w:szCs w:val="20"/>
                                <w:lang w:val="en-GB"/>
                              </w:rPr>
                              <w:t>range=</w:t>
                            </w:r>
                            <w:r w:rsidRPr="00BA55C0">
                              <w:rPr>
                                <w:b w:val="0"/>
                                <w:bCs/>
                                <w:sz w:val="22"/>
                                <w:szCs w:val="20"/>
                                <w:lang w:val="en-GB"/>
                              </w:rPr>
                              <w:t>0.516-0.850</w:t>
                            </w:r>
                            <w:r w:rsidRPr="004500E2">
                              <w:rPr>
                                <w:b w:val="0"/>
                                <w:bCs/>
                                <w:sz w:val="22"/>
                                <w:szCs w:val="20"/>
                                <w:lang w:val="en-GB"/>
                              </w:rPr>
                              <w:t>).</w:t>
                            </w:r>
                          </w:p>
                          <w:p w14:paraId="49BE57C3" w14:textId="3EA98848" w:rsidR="007A3462" w:rsidRDefault="00F26469" w:rsidP="007A3462">
                            <w:pPr>
                              <w:rPr>
                                <w:szCs w:val="20"/>
                                <w:lang w:val="en-GB"/>
                              </w:rPr>
                            </w:pPr>
                            <w:r w:rsidRPr="00851C86">
                              <w:rPr>
                                <w:b/>
                                <w:bCs/>
                                <w:szCs w:val="20"/>
                                <w:lang w:val="en-GB"/>
                              </w:rPr>
                              <w:t>Conclusion:</w:t>
                            </w:r>
                            <w:r>
                              <w:rPr>
                                <w:szCs w:val="20"/>
                                <w:lang w:val="en-GB"/>
                              </w:rPr>
                              <w:t xml:space="preserve"> The preliminary results were in line with previous studies that suggested saturable binding of CEZ [1,4]. Potential differences in PI between obese and nonobese patients and their clinical relevance will be investigated in the future.</w:t>
                            </w:r>
                          </w:p>
                          <w:p w14:paraId="08DE1717" w14:textId="77777777" w:rsidR="00892BA6" w:rsidRPr="003814CD" w:rsidRDefault="00892BA6" w:rsidP="007A3462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23D658D0" w14:textId="77777777" w:rsidR="00892BA6" w:rsidRDefault="00892BA6" w:rsidP="00892BA6">
                            <w:pPr>
                              <w:pStyle w:val="Sections"/>
                              <w:spacing w:line="240" w:lineRule="auto"/>
                              <w:rPr>
                                <w:sz w:val="20"/>
                                <w:szCs w:val="18"/>
                                <w:lang w:val="en-GB"/>
                              </w:rPr>
                            </w:pPr>
                          </w:p>
                          <w:p w14:paraId="25046F7D" w14:textId="7119D636" w:rsidR="00892BA6" w:rsidRPr="00892BA6" w:rsidRDefault="00892BA6" w:rsidP="00892BA6">
                            <w:pPr>
                              <w:pStyle w:val="Sections"/>
                              <w:spacing w:line="240" w:lineRule="auto"/>
                              <w:rPr>
                                <w:sz w:val="20"/>
                                <w:szCs w:val="18"/>
                                <w:lang w:val="en-GB"/>
                              </w:rPr>
                            </w:pPr>
                            <w:r w:rsidRPr="00892BA6">
                              <w:rPr>
                                <w:sz w:val="20"/>
                                <w:szCs w:val="18"/>
                                <w:lang w:val="en-GB"/>
                              </w:rPr>
                              <w:t>References:</w:t>
                            </w:r>
                          </w:p>
                          <w:p w14:paraId="3635D897" w14:textId="064C0276" w:rsidR="00892BA6" w:rsidRPr="00892BA6" w:rsidRDefault="00892BA6" w:rsidP="00892BA6">
                            <w:pPr>
                              <w:pStyle w:val="Sections"/>
                              <w:spacing w:line="240" w:lineRule="auto"/>
                              <w:rPr>
                                <w:b w:val="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892BA6">
                              <w:rPr>
                                <w:b w:val="0"/>
                                <w:sz w:val="16"/>
                                <w:szCs w:val="16"/>
                                <w:lang w:val="en-GB"/>
                              </w:rPr>
                              <w:t xml:space="preserve">[1] C. Dorn et al. J. </w:t>
                            </w:r>
                            <w:proofErr w:type="spellStart"/>
                            <w:r w:rsidRPr="00892BA6">
                              <w:rPr>
                                <w:b w:val="0"/>
                                <w:sz w:val="16"/>
                                <w:szCs w:val="16"/>
                                <w:lang w:val="en-GB"/>
                              </w:rPr>
                              <w:t>Antimicrob</w:t>
                            </w:r>
                            <w:proofErr w:type="spellEnd"/>
                            <w:r w:rsidRPr="00892BA6">
                              <w:rPr>
                                <w:b w:val="0"/>
                                <w:sz w:val="16"/>
                                <w:szCs w:val="16"/>
                                <w:lang w:val="en-GB"/>
                              </w:rPr>
                              <w:t>. Chemother. 76</w:t>
                            </w:r>
                            <w:r>
                              <w:rPr>
                                <w:b w:val="0"/>
                                <w:sz w:val="16"/>
                                <w:szCs w:val="16"/>
                                <w:lang w:val="en-GB"/>
                              </w:rPr>
                              <w:t>:</w:t>
                            </w:r>
                            <w:r w:rsidRPr="00892BA6">
                              <w:rPr>
                                <w:b w:val="0"/>
                                <w:sz w:val="16"/>
                                <w:szCs w:val="16"/>
                                <w:lang w:val="en-GB"/>
                              </w:rPr>
                              <w:t xml:space="preserve"> 2114–2120 (2013)</w:t>
                            </w:r>
                          </w:p>
                          <w:p w14:paraId="4AC2EBF3" w14:textId="69FD72E8" w:rsidR="00892BA6" w:rsidRPr="00892BA6" w:rsidRDefault="00892BA6" w:rsidP="00892BA6">
                            <w:pPr>
                              <w:pStyle w:val="Sections"/>
                              <w:spacing w:line="240" w:lineRule="auto"/>
                              <w:rPr>
                                <w:b w:val="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892BA6">
                              <w:rPr>
                                <w:b w:val="0"/>
                                <w:sz w:val="16"/>
                                <w:szCs w:val="16"/>
                                <w:lang w:val="en-GB"/>
                              </w:rPr>
                              <w:t>[2] C. Dorn et al. J</w:t>
                            </w:r>
                            <w:r>
                              <w:rPr>
                                <w:b w:val="0"/>
                                <w:sz w:val="16"/>
                                <w:szCs w:val="16"/>
                                <w:lang w:val="en-GB"/>
                              </w:rPr>
                              <w:t xml:space="preserve">. </w:t>
                            </w:r>
                            <w:proofErr w:type="spellStart"/>
                            <w:r w:rsidRPr="00892BA6">
                              <w:rPr>
                                <w:b w:val="0"/>
                                <w:sz w:val="16"/>
                                <w:szCs w:val="16"/>
                                <w:lang w:val="en-GB"/>
                              </w:rPr>
                              <w:t>Chromatogr</w:t>
                            </w:r>
                            <w:proofErr w:type="spellEnd"/>
                            <w:r>
                              <w:rPr>
                                <w:b w:val="0"/>
                                <w:sz w:val="16"/>
                                <w:szCs w:val="16"/>
                                <w:lang w:val="en-GB"/>
                              </w:rPr>
                              <w:t>.</w:t>
                            </w:r>
                            <w:r w:rsidRPr="00892BA6">
                              <w:rPr>
                                <w:b w:val="0"/>
                                <w:sz w:val="16"/>
                                <w:szCs w:val="16"/>
                                <w:lang w:val="en-GB"/>
                              </w:rPr>
                              <w:t xml:space="preserve"> B, 1118–1119</w:t>
                            </w:r>
                            <w:r>
                              <w:rPr>
                                <w:b w:val="0"/>
                                <w:sz w:val="16"/>
                                <w:szCs w:val="16"/>
                                <w:lang w:val="en-GB"/>
                              </w:rPr>
                              <w:t>:</w:t>
                            </w:r>
                            <w:r w:rsidRPr="00892BA6">
                              <w:rPr>
                                <w:b w:val="0"/>
                                <w:sz w:val="16"/>
                                <w:szCs w:val="16"/>
                                <w:lang w:val="en-GB"/>
                              </w:rPr>
                              <w:t xml:space="preserve"> 51-54 (2019)</w:t>
                            </w:r>
                          </w:p>
                          <w:p w14:paraId="32E2B3FA" w14:textId="392C5EFE" w:rsidR="00892BA6" w:rsidRPr="00892BA6" w:rsidRDefault="00892BA6" w:rsidP="00892BA6">
                            <w:pPr>
                              <w:pStyle w:val="Sections"/>
                              <w:spacing w:line="240" w:lineRule="auto"/>
                              <w:rPr>
                                <w:b w:val="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892BA6">
                              <w:rPr>
                                <w:b w:val="0"/>
                                <w:sz w:val="16"/>
                                <w:szCs w:val="16"/>
                                <w:lang w:val="en-GB"/>
                              </w:rPr>
                              <w:t>[3] P. Simon et al. Contemp</w:t>
                            </w:r>
                            <w:r>
                              <w:rPr>
                                <w:b w:val="0"/>
                                <w:sz w:val="16"/>
                                <w:szCs w:val="16"/>
                                <w:lang w:val="en-GB"/>
                              </w:rPr>
                              <w:t>.</w:t>
                            </w:r>
                            <w:r w:rsidRPr="00892BA6">
                              <w:rPr>
                                <w:b w:val="0"/>
                                <w:sz w:val="16"/>
                                <w:szCs w:val="16"/>
                                <w:lang w:val="en-GB"/>
                              </w:rPr>
                              <w:t xml:space="preserve"> Clin</w:t>
                            </w:r>
                            <w:r>
                              <w:rPr>
                                <w:b w:val="0"/>
                                <w:sz w:val="16"/>
                                <w:szCs w:val="16"/>
                                <w:lang w:val="en-GB"/>
                              </w:rPr>
                              <w:t>.</w:t>
                            </w:r>
                            <w:r w:rsidRPr="00892BA6">
                              <w:rPr>
                                <w:b w:val="0"/>
                                <w:sz w:val="16"/>
                                <w:szCs w:val="16"/>
                                <w:lang w:val="en-GB"/>
                              </w:rPr>
                              <w:t xml:space="preserve"> Trials </w:t>
                            </w:r>
                            <w:proofErr w:type="spellStart"/>
                            <w:r w:rsidRPr="00892BA6">
                              <w:rPr>
                                <w:b w:val="0"/>
                                <w:sz w:val="16"/>
                                <w:szCs w:val="16"/>
                                <w:lang w:val="en-GB"/>
                              </w:rPr>
                              <w:t>Commun</w:t>
                            </w:r>
                            <w:proofErr w:type="spellEnd"/>
                            <w:r>
                              <w:rPr>
                                <w:b w:val="0"/>
                                <w:sz w:val="16"/>
                                <w:szCs w:val="16"/>
                                <w:lang w:val="en-GB"/>
                              </w:rPr>
                              <w:t>.</w:t>
                            </w:r>
                            <w:r w:rsidRPr="00892BA6">
                              <w:rPr>
                                <w:b w:val="0"/>
                                <w:sz w:val="16"/>
                                <w:szCs w:val="16"/>
                                <w:lang w:val="en-GB"/>
                              </w:rPr>
                              <w:t xml:space="preserve"> 15</w:t>
                            </w:r>
                            <w:r>
                              <w:rPr>
                                <w:b w:val="0"/>
                                <w:sz w:val="16"/>
                                <w:szCs w:val="16"/>
                                <w:lang w:val="en-GB"/>
                              </w:rPr>
                              <w:t>:</w:t>
                            </w:r>
                            <w:r w:rsidRPr="00892BA6">
                              <w:rPr>
                                <w:b w:val="0"/>
                                <w:sz w:val="16"/>
                                <w:szCs w:val="16"/>
                                <w:lang w:val="en-GB"/>
                              </w:rPr>
                              <w:t xml:space="preserve"> 100375 (2019)</w:t>
                            </w:r>
                          </w:p>
                          <w:p w14:paraId="5BBC5BD4" w14:textId="652D023B" w:rsidR="003814CD" w:rsidRPr="00892BA6" w:rsidRDefault="00892BA6" w:rsidP="00892BA6">
                            <w:pPr>
                              <w:pStyle w:val="Sections"/>
                              <w:spacing w:line="240" w:lineRule="auto"/>
                              <w:rPr>
                                <w:b w:val="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892BA6">
                              <w:rPr>
                                <w:b w:val="0"/>
                                <w:sz w:val="16"/>
                                <w:szCs w:val="16"/>
                                <w:lang w:val="en-GB"/>
                              </w:rPr>
                              <w:t>[4] M.J.E. Brill et al. J</w:t>
                            </w:r>
                            <w:r>
                              <w:rPr>
                                <w:b w:val="0"/>
                                <w:sz w:val="16"/>
                                <w:szCs w:val="16"/>
                                <w:lang w:val="en-GB"/>
                              </w:rPr>
                              <w:t>.</w:t>
                            </w:r>
                            <w:r w:rsidRPr="00892BA6">
                              <w:rPr>
                                <w:b w:val="0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892BA6">
                              <w:rPr>
                                <w:b w:val="0"/>
                                <w:sz w:val="16"/>
                                <w:szCs w:val="16"/>
                                <w:lang w:val="en-GB"/>
                              </w:rPr>
                              <w:t>Antimicro</w:t>
                            </w:r>
                            <w:r>
                              <w:rPr>
                                <w:b w:val="0"/>
                                <w:sz w:val="16"/>
                                <w:szCs w:val="16"/>
                                <w:lang w:val="en-GB"/>
                              </w:rPr>
                              <w:t>b</w:t>
                            </w:r>
                            <w:proofErr w:type="spellEnd"/>
                            <w:r>
                              <w:rPr>
                                <w:b w:val="0"/>
                                <w:sz w:val="16"/>
                                <w:szCs w:val="16"/>
                                <w:lang w:val="en-GB"/>
                              </w:rPr>
                              <w:t>.</w:t>
                            </w:r>
                            <w:r w:rsidRPr="00892BA6">
                              <w:rPr>
                                <w:b w:val="0"/>
                                <w:sz w:val="16"/>
                                <w:szCs w:val="16"/>
                                <w:lang w:val="en-GB"/>
                              </w:rPr>
                              <w:t xml:space="preserve"> Chemother</w:t>
                            </w:r>
                            <w:r>
                              <w:rPr>
                                <w:b w:val="0"/>
                                <w:sz w:val="16"/>
                                <w:szCs w:val="16"/>
                                <w:lang w:val="en-GB"/>
                              </w:rPr>
                              <w:t>.</w:t>
                            </w:r>
                            <w:r w:rsidRPr="00892BA6">
                              <w:rPr>
                                <w:b w:val="0"/>
                                <w:sz w:val="16"/>
                                <w:szCs w:val="16"/>
                                <w:lang w:val="en-GB"/>
                              </w:rPr>
                              <w:t xml:space="preserve"> 69</w:t>
                            </w:r>
                            <w:r>
                              <w:rPr>
                                <w:b w:val="0"/>
                                <w:sz w:val="16"/>
                                <w:szCs w:val="16"/>
                                <w:lang w:val="en-GB"/>
                              </w:rPr>
                              <w:t>:</w:t>
                            </w:r>
                            <w:r w:rsidRPr="00892BA6">
                              <w:rPr>
                                <w:b w:val="0"/>
                                <w:sz w:val="16"/>
                                <w:szCs w:val="16"/>
                                <w:lang w:val="en-GB"/>
                              </w:rPr>
                              <w:t xml:space="preserve"> 715–723 (2014)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78EF8" id="_x0000_s1027" type="#_x0000_t202" style="position:absolute;left:0;text-align:left;margin-left:-21.35pt;margin-top:17.15pt;width:495.5pt;height:694.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">
                <v:textbox>
                  <w:txbxContent>
                    <w:p w14:paraId="734E4B0C" w14:textId="027ABD4A" w:rsidR="00F26469" w:rsidRPr="00892BA6" w:rsidRDefault="00F26469" w:rsidP="00F26469">
                      <w:pPr>
                        <w:spacing w:line="240" w:lineRule="auto"/>
                        <w:jc w:val="center"/>
                        <w:rPr>
                          <w:rFonts w:cs="Times New Roman"/>
                          <w:sz w:val="28"/>
                          <w:szCs w:val="28"/>
                          <w:lang w:val="en-GB"/>
                        </w:rPr>
                      </w:pPr>
                      <w:r w:rsidRPr="00892BA6">
                        <w:rPr>
                          <w:rFonts w:cs="Times New Roman"/>
                          <w:sz w:val="28"/>
                          <w:szCs w:val="28"/>
                          <w:lang w:val="en-GB"/>
                        </w:rPr>
                        <w:t xml:space="preserve">Characterisation of plasma and target-site cefazolin pharmacokinetics and </w:t>
                      </w:r>
                      <w:r w:rsidR="00892BA6">
                        <w:rPr>
                          <w:rFonts w:cs="Times New Roman"/>
                          <w:sz w:val="28"/>
                          <w:szCs w:val="28"/>
                          <w:lang w:val="en-GB"/>
                        </w:rPr>
                        <w:br/>
                      </w:r>
                      <w:r w:rsidRPr="00892BA6">
                        <w:rPr>
                          <w:rFonts w:cs="Times New Roman"/>
                          <w:sz w:val="28"/>
                          <w:szCs w:val="28"/>
                          <w:lang w:val="en-GB"/>
                        </w:rPr>
                        <w:t>protein binding in obese and nonobese patients</w:t>
                      </w:r>
                    </w:p>
                    <w:p w14:paraId="7C9F7B39" w14:textId="77777777" w:rsidR="007A3462" w:rsidRPr="00892BA6" w:rsidRDefault="007A3462" w:rsidP="007A3462">
                      <w:pPr>
                        <w:spacing w:line="240" w:lineRule="auto"/>
                        <w:jc w:val="center"/>
                        <w:rPr>
                          <w:rFonts w:cs="Times New Roman"/>
                          <w:sz w:val="20"/>
                          <w:szCs w:val="20"/>
                          <w:lang w:val="en-GB"/>
                        </w:rPr>
                      </w:pPr>
                    </w:p>
                    <w:p w14:paraId="18820B39" w14:textId="1A8A168D" w:rsidR="00F26469" w:rsidRPr="00185350" w:rsidRDefault="00F26469" w:rsidP="00F26469">
                      <w:pPr>
                        <w:pStyle w:val="KeinLeerraum"/>
                        <w:jc w:val="center"/>
                        <w:rPr>
                          <w:rFonts w:ascii="Times New Roman" w:hAnsi="Times New Roman" w:cs="Times New Roman"/>
                          <w:sz w:val="20"/>
                          <w:vertAlign w:val="superscript"/>
                          <w:lang w:val="it-IT"/>
                        </w:rPr>
                      </w:pPr>
                      <w:r w:rsidRPr="00185350">
                        <w:rPr>
                          <w:rFonts w:ascii="Times New Roman" w:hAnsi="Times New Roman" w:cs="Times New Roman"/>
                          <w:sz w:val="20"/>
                          <w:lang w:val="it-IT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lang w:val="it-IT"/>
                        </w:rPr>
                        <w:t>avide</w:t>
                      </w:r>
                      <w:r w:rsidRPr="00185350">
                        <w:rPr>
                          <w:rFonts w:ascii="Times New Roman" w:hAnsi="Times New Roman" w:cs="Times New Roman"/>
                          <w:sz w:val="20"/>
                          <w:lang w:val="it-IT"/>
                        </w:rPr>
                        <w:t xml:space="preserve"> </w:t>
                      </w:r>
                      <w:proofErr w:type="spellStart"/>
                      <w:proofErr w:type="gramStart"/>
                      <w:r w:rsidRPr="00185350">
                        <w:rPr>
                          <w:rFonts w:ascii="Times New Roman" w:hAnsi="Times New Roman" w:cs="Times New Roman"/>
                          <w:sz w:val="20"/>
                          <w:lang w:val="it-IT"/>
                        </w:rPr>
                        <w:t>Bindellini</w:t>
                      </w:r>
                      <w:r w:rsidRPr="00185350">
                        <w:rPr>
                          <w:rFonts w:ascii="Times New Roman" w:hAnsi="Times New Roman" w:cs="Times New Roman"/>
                          <w:sz w:val="20"/>
                          <w:vertAlign w:val="superscript"/>
                          <w:lang w:val="it-IT"/>
                        </w:rPr>
                        <w:t>a,</w:t>
                      </w:r>
                      <w:r w:rsidR="00BE5641">
                        <w:rPr>
                          <w:rFonts w:ascii="Times New Roman" w:hAnsi="Times New Roman" w:cs="Times New Roman"/>
                          <w:sz w:val="20"/>
                          <w:vertAlign w:val="superscript"/>
                          <w:lang w:val="it-IT"/>
                        </w:rPr>
                        <w:t>b</w:t>
                      </w:r>
                      <w:proofErr w:type="spellEnd"/>
                      <w:proofErr w:type="gramEnd"/>
                      <w:r w:rsidRPr="00185350">
                        <w:rPr>
                          <w:rFonts w:ascii="Times New Roman" w:hAnsi="Times New Roman" w:cs="Times New Roman"/>
                          <w:sz w:val="20"/>
                          <w:lang w:val="it-IT"/>
                        </w:rPr>
                        <w:t>, D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lang w:val="it-IT"/>
                        </w:rPr>
                        <w:t>avid</w:t>
                      </w:r>
                      <w:r w:rsidRPr="00185350">
                        <w:rPr>
                          <w:rFonts w:ascii="Times New Roman" w:hAnsi="Times New Roman" w:cs="Times New Roman"/>
                          <w:sz w:val="20"/>
                          <w:vertAlign w:val="superscript"/>
                          <w:lang w:val="it-IT"/>
                        </w:rPr>
                        <w:t xml:space="preserve"> </w:t>
                      </w:r>
                      <w:proofErr w:type="spellStart"/>
                      <w:r w:rsidRPr="00185350">
                        <w:rPr>
                          <w:rFonts w:ascii="Times New Roman" w:hAnsi="Times New Roman" w:cs="Times New Roman"/>
                          <w:sz w:val="20"/>
                          <w:lang w:val="it-IT"/>
                        </w:rPr>
                        <w:t>Busse</w:t>
                      </w:r>
                      <w:r w:rsidRPr="00185350">
                        <w:rPr>
                          <w:rFonts w:ascii="Times New Roman" w:hAnsi="Times New Roman" w:cs="Times New Roman"/>
                          <w:sz w:val="20"/>
                          <w:vertAlign w:val="superscript"/>
                          <w:lang w:val="it-IT"/>
                        </w:rPr>
                        <w:t>a,b</w:t>
                      </w:r>
                      <w:proofErr w:type="spellEnd"/>
                      <w:r w:rsidRPr="00185350">
                        <w:rPr>
                          <w:rFonts w:ascii="Times New Roman" w:hAnsi="Times New Roman" w:cs="Times New Roman"/>
                          <w:sz w:val="20"/>
                          <w:lang w:val="it-IT"/>
                        </w:rPr>
                        <w:t>, P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lang w:val="it-IT"/>
                        </w:rPr>
                        <w:t>hilipp</w:t>
                      </w:r>
                      <w:r w:rsidRPr="00185350">
                        <w:rPr>
                          <w:rFonts w:ascii="Times New Roman" w:hAnsi="Times New Roman" w:cs="Times New Roman"/>
                          <w:sz w:val="20"/>
                          <w:lang w:val="it-IT"/>
                        </w:rPr>
                        <w:t xml:space="preserve"> </w:t>
                      </w:r>
                      <w:proofErr w:type="spellStart"/>
                      <w:r w:rsidRPr="00185350">
                        <w:rPr>
                          <w:rFonts w:ascii="Times New Roman" w:hAnsi="Times New Roman" w:cs="Times New Roman"/>
                          <w:sz w:val="20"/>
                          <w:lang w:val="it-IT"/>
                        </w:rPr>
                        <w:t>Simon</w:t>
                      </w:r>
                      <w:r w:rsidRPr="00185350">
                        <w:rPr>
                          <w:rFonts w:ascii="Times New Roman" w:hAnsi="Times New Roman" w:cs="Times New Roman"/>
                          <w:sz w:val="20"/>
                          <w:vertAlign w:val="superscript"/>
                          <w:lang w:val="it-IT"/>
                        </w:rPr>
                        <w:t>c</w:t>
                      </w:r>
                      <w:proofErr w:type="spellEnd"/>
                      <w:r w:rsidRPr="00185350">
                        <w:rPr>
                          <w:rFonts w:ascii="Times New Roman" w:hAnsi="Times New Roman" w:cs="Times New Roman"/>
                          <w:sz w:val="20"/>
                          <w:lang w:val="it-IT"/>
                        </w:rPr>
                        <w:t>, R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lang w:val="it-IT"/>
                        </w:rPr>
                        <w:t>obin</w:t>
                      </w:r>
                      <w:r w:rsidRPr="00185350">
                        <w:rPr>
                          <w:rFonts w:ascii="Times New Roman" w:hAnsi="Times New Roman" w:cs="Times New Roman"/>
                          <w:sz w:val="20"/>
                          <w:lang w:val="it-IT"/>
                        </w:rPr>
                        <w:t xml:space="preserve"> </w:t>
                      </w:r>
                      <w:proofErr w:type="spellStart"/>
                      <w:r w:rsidRPr="00185350">
                        <w:rPr>
                          <w:rFonts w:ascii="Times New Roman" w:hAnsi="Times New Roman" w:cs="Times New Roman"/>
                          <w:sz w:val="20"/>
                          <w:lang w:val="it-IT"/>
                        </w:rPr>
                        <w:t>Michelet</w:t>
                      </w:r>
                      <w:r w:rsidRPr="00185350">
                        <w:rPr>
                          <w:rFonts w:ascii="Times New Roman" w:hAnsi="Times New Roman" w:cs="Times New Roman"/>
                          <w:sz w:val="20"/>
                          <w:vertAlign w:val="superscript"/>
                          <w:lang w:val="it-IT"/>
                        </w:rPr>
                        <w:t>a</w:t>
                      </w:r>
                      <w:proofErr w:type="spellEnd"/>
                      <w:r w:rsidRPr="00185350">
                        <w:rPr>
                          <w:rFonts w:ascii="Times New Roman" w:hAnsi="Times New Roman" w:cs="Times New Roman"/>
                          <w:sz w:val="20"/>
                          <w:lang w:val="it-IT"/>
                        </w:rPr>
                        <w:t>, D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lang w:val="it-IT"/>
                        </w:rPr>
                        <w:t>avid</w:t>
                      </w:r>
                      <w:r w:rsidRPr="00185350">
                        <w:rPr>
                          <w:rFonts w:ascii="Times New Roman" w:hAnsi="Times New Roman" w:cs="Times New Roman"/>
                          <w:sz w:val="20"/>
                          <w:lang w:val="it-IT"/>
                        </w:rPr>
                        <w:t xml:space="preserve"> </w:t>
                      </w:r>
                      <w:proofErr w:type="spellStart"/>
                      <w:r w:rsidRPr="00185350">
                        <w:rPr>
                          <w:rFonts w:ascii="Times New Roman" w:hAnsi="Times New Roman" w:cs="Times New Roman"/>
                          <w:sz w:val="20"/>
                          <w:lang w:val="it-IT"/>
                        </w:rPr>
                        <w:t>Petroff</w:t>
                      </w:r>
                      <w:r w:rsidRPr="00185350">
                        <w:rPr>
                          <w:rFonts w:ascii="Times New Roman" w:hAnsi="Times New Roman" w:cs="Times New Roman"/>
                          <w:sz w:val="20"/>
                          <w:vertAlign w:val="superscript"/>
                          <w:lang w:val="it-IT"/>
                        </w:rPr>
                        <w:t>d</w:t>
                      </w:r>
                      <w:proofErr w:type="spellEnd"/>
                      <w:r w:rsidRPr="00185350">
                        <w:rPr>
                          <w:rFonts w:ascii="Times New Roman" w:hAnsi="Times New Roman" w:cs="Times New Roman"/>
                          <w:sz w:val="20"/>
                          <w:lang w:val="it-IT"/>
                        </w:rPr>
                        <w:t>, C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lang w:val="it-IT"/>
                        </w:rPr>
                        <w:t>hristoph</w:t>
                      </w:r>
                      <w:r w:rsidRPr="00185350">
                        <w:rPr>
                          <w:rFonts w:ascii="Times New Roman" w:hAnsi="Times New Roman" w:cs="Times New Roman"/>
                          <w:sz w:val="20"/>
                          <w:lang w:val="it-IT"/>
                        </w:rPr>
                        <w:t xml:space="preserve"> </w:t>
                      </w:r>
                      <w:proofErr w:type="spellStart"/>
                      <w:r w:rsidRPr="00185350">
                        <w:rPr>
                          <w:rFonts w:ascii="Times New Roman" w:hAnsi="Times New Roman" w:cs="Times New Roman"/>
                          <w:sz w:val="20"/>
                          <w:lang w:val="it-IT"/>
                        </w:rPr>
                        <w:t>Dorn</w:t>
                      </w:r>
                      <w:r w:rsidRPr="00185350">
                        <w:rPr>
                          <w:rFonts w:ascii="Times New Roman" w:hAnsi="Times New Roman" w:cs="Times New Roman"/>
                          <w:sz w:val="20"/>
                          <w:vertAlign w:val="superscript"/>
                          <w:lang w:val="it-IT"/>
                        </w:rPr>
                        <w:t>e</w:t>
                      </w:r>
                      <w:proofErr w:type="spellEnd"/>
                      <w:r w:rsidRPr="00185350">
                        <w:rPr>
                          <w:rFonts w:ascii="Times New Roman" w:hAnsi="Times New Roman" w:cs="Times New Roman"/>
                          <w:sz w:val="20"/>
                          <w:lang w:val="it-IT"/>
                        </w:rPr>
                        <w:t xml:space="preserve">, </w:t>
                      </w:r>
                      <w:r w:rsidR="00892BA6">
                        <w:rPr>
                          <w:rFonts w:ascii="Times New Roman" w:hAnsi="Times New Roman" w:cs="Times New Roman"/>
                          <w:sz w:val="20"/>
                          <w:lang w:val="it-IT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0"/>
                          <w:lang w:val="it-IT"/>
                        </w:rPr>
                        <w:t xml:space="preserve">Markus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lang w:val="it-IT"/>
                        </w:rPr>
                        <w:t>Zeitlinger</w:t>
                      </w:r>
                      <w:r w:rsidRPr="007052C2">
                        <w:rPr>
                          <w:rFonts w:ascii="Times New Roman" w:hAnsi="Times New Roman" w:cs="Times New Roman"/>
                          <w:sz w:val="20"/>
                          <w:vertAlign w:val="superscript"/>
                          <w:lang w:val="it-IT"/>
                        </w:rPr>
                        <w:t>f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lang w:val="it-IT"/>
                        </w:rPr>
                        <w:t xml:space="preserve">, </w:t>
                      </w:r>
                      <w:r w:rsidRPr="00185350">
                        <w:rPr>
                          <w:rFonts w:ascii="Times New Roman" w:hAnsi="Times New Roman" w:cs="Times New Roman"/>
                          <w:sz w:val="20"/>
                          <w:lang w:val="it-IT"/>
                        </w:rPr>
                        <w:t>H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lang w:val="it-IT"/>
                        </w:rPr>
                        <w:t>ermann</w:t>
                      </w:r>
                      <w:r w:rsidRPr="00185350">
                        <w:rPr>
                          <w:rFonts w:ascii="Times New Roman" w:hAnsi="Times New Roman" w:cs="Times New Roman"/>
                          <w:sz w:val="20"/>
                          <w:lang w:val="it-IT"/>
                        </w:rPr>
                        <w:t xml:space="preserve"> </w:t>
                      </w:r>
                      <w:proofErr w:type="spellStart"/>
                      <w:r w:rsidRPr="00185350">
                        <w:rPr>
                          <w:rFonts w:ascii="Times New Roman" w:hAnsi="Times New Roman" w:cs="Times New Roman"/>
                          <w:sz w:val="20"/>
                          <w:lang w:val="it-IT"/>
                        </w:rPr>
                        <w:t>Wrigge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vertAlign w:val="superscript"/>
                          <w:lang w:val="it-IT"/>
                        </w:rPr>
                        <w:t>d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vertAlign w:val="superscript"/>
                          <w:lang w:val="it-IT"/>
                        </w:rPr>
                        <w:t xml:space="preserve"> g</w:t>
                      </w:r>
                      <w:r w:rsidRPr="00185350">
                        <w:rPr>
                          <w:rFonts w:ascii="Times New Roman" w:hAnsi="Times New Roman" w:cs="Times New Roman"/>
                          <w:sz w:val="20"/>
                          <w:lang w:val="it-IT"/>
                        </w:rPr>
                        <w:t>, W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lang w:val="it-IT"/>
                        </w:rPr>
                        <w:t>ilhelm</w:t>
                      </w:r>
                      <w:r w:rsidRPr="00185350">
                        <w:rPr>
                          <w:rFonts w:ascii="Times New Roman" w:hAnsi="Times New Roman" w:cs="Times New Roman"/>
                          <w:sz w:val="20"/>
                          <w:lang w:val="it-IT"/>
                        </w:rPr>
                        <w:t xml:space="preserve"> </w:t>
                      </w:r>
                      <w:proofErr w:type="spellStart"/>
                      <w:r w:rsidRPr="00185350">
                        <w:rPr>
                          <w:rFonts w:ascii="Times New Roman" w:hAnsi="Times New Roman" w:cs="Times New Roman"/>
                          <w:sz w:val="20"/>
                          <w:lang w:val="it-IT"/>
                        </w:rPr>
                        <w:t>Huisinga</w:t>
                      </w:r>
                      <w:r w:rsidRPr="007052C2">
                        <w:rPr>
                          <w:rFonts w:ascii="Times New Roman" w:hAnsi="Times New Roman" w:cs="Times New Roman"/>
                          <w:sz w:val="20"/>
                          <w:vertAlign w:val="superscript"/>
                          <w:lang w:val="it-IT"/>
                        </w:rPr>
                        <w:t>h</w:t>
                      </w:r>
                      <w:proofErr w:type="spellEnd"/>
                      <w:r w:rsidRPr="00185350">
                        <w:rPr>
                          <w:rFonts w:ascii="Times New Roman" w:hAnsi="Times New Roman" w:cs="Times New Roman"/>
                          <w:sz w:val="20"/>
                          <w:lang w:val="it-IT"/>
                        </w:rPr>
                        <w:t>, C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lang w:val="it-IT"/>
                        </w:rPr>
                        <w:t>harlotte</w:t>
                      </w:r>
                      <w:r w:rsidRPr="00185350">
                        <w:rPr>
                          <w:rFonts w:ascii="Times New Roman" w:hAnsi="Times New Roman" w:cs="Times New Roman"/>
                          <w:sz w:val="20"/>
                          <w:lang w:val="it-IT"/>
                        </w:rPr>
                        <w:t xml:space="preserve"> </w:t>
                      </w:r>
                      <w:proofErr w:type="spellStart"/>
                      <w:r w:rsidRPr="00185350">
                        <w:rPr>
                          <w:rFonts w:ascii="Times New Roman" w:hAnsi="Times New Roman" w:cs="Times New Roman"/>
                          <w:sz w:val="20"/>
                          <w:lang w:val="it-IT"/>
                        </w:rPr>
                        <w:t>Kloft</w:t>
                      </w:r>
                      <w:r w:rsidRPr="00185350">
                        <w:rPr>
                          <w:rFonts w:ascii="Times New Roman" w:hAnsi="Times New Roman" w:cs="Times New Roman"/>
                          <w:sz w:val="20"/>
                          <w:vertAlign w:val="superscript"/>
                          <w:lang w:val="it-IT"/>
                        </w:rPr>
                        <w:t>a</w:t>
                      </w:r>
                      <w:proofErr w:type="spellEnd"/>
                    </w:p>
                    <w:p w14:paraId="01A4E476" w14:textId="77777777" w:rsidR="007A3462" w:rsidRPr="00892BA6" w:rsidRDefault="007A3462" w:rsidP="007A3462">
                      <w:pPr>
                        <w:pStyle w:val="KeinLeerraum"/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  <w:vertAlign w:val="superscript"/>
                          <w:lang w:val="it-IT"/>
                        </w:rPr>
                      </w:pPr>
                    </w:p>
                    <w:p w14:paraId="319E1388" w14:textId="7DBFA56B" w:rsidR="00F26469" w:rsidRPr="0026654D" w:rsidRDefault="00F26469" w:rsidP="00F26469">
                      <w:pPr>
                        <w:pStyle w:val="KeinLeerraum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GB"/>
                        </w:rPr>
                      </w:pPr>
                      <w:r w:rsidRPr="0026654D"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  <w:lang w:val="en-GB"/>
                        </w:rPr>
                        <w:t xml:space="preserve">a </w:t>
                      </w:r>
                      <w:r w:rsidRPr="0026654D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GB"/>
                        </w:rPr>
                        <w:t xml:space="preserve">Dept. of Clinical Pharmacy and Biochemistry, Institute of Pharmacy, </w:t>
                      </w:r>
                      <w:proofErr w:type="spellStart"/>
                      <w:r w:rsidRPr="0026654D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GB"/>
                        </w:rPr>
                        <w:t>Freie</w:t>
                      </w:r>
                      <w:proofErr w:type="spellEnd"/>
                      <w:r w:rsidRPr="0026654D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proofErr w:type="spellStart"/>
                      <w:r w:rsidRPr="0026654D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GB"/>
                        </w:rPr>
                        <w:t>Universitaet</w:t>
                      </w:r>
                      <w:proofErr w:type="spellEnd"/>
                      <w:r w:rsidRPr="0026654D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GB"/>
                        </w:rPr>
                        <w:t xml:space="preserve"> Berlin, Germany, </w:t>
                      </w:r>
                      <w:r w:rsidRPr="0026654D"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  <w:lang w:val="en-GB"/>
                        </w:rPr>
                        <w:t>b</w:t>
                      </w:r>
                      <w:r w:rsidRPr="0026654D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GB"/>
                        </w:rPr>
                        <w:t>and Graduate Research Training program PharMetrX, Germany</w:t>
                      </w:r>
                    </w:p>
                    <w:p w14:paraId="186005ED" w14:textId="3C39E2FF" w:rsidR="00F26469" w:rsidRPr="0026654D" w:rsidRDefault="00F26469" w:rsidP="00F26469">
                      <w:pPr>
                        <w:pStyle w:val="KeinLeerraum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GB"/>
                        </w:rPr>
                      </w:pPr>
                      <w:r w:rsidRPr="0026654D"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  <w:lang w:val="en-GB"/>
                        </w:rPr>
                        <w:t xml:space="preserve">c </w:t>
                      </w:r>
                      <w:r w:rsidRPr="0026654D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GB"/>
                        </w:rPr>
                        <w:t xml:space="preserve">Dept. of Anaesthesiology and Intensive Care Medicine, University of Leipzig Medical Centre and Integrated Research and Treatment </w:t>
                      </w:r>
                      <w:proofErr w:type="spellStart"/>
                      <w:r w:rsidRPr="0026654D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GB"/>
                        </w:rPr>
                        <w:t>Center</w:t>
                      </w:r>
                      <w:proofErr w:type="spellEnd"/>
                      <w:r w:rsidRPr="0026654D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GB"/>
                        </w:rPr>
                        <w:t xml:space="preserve"> (IFB), Adiposity Diseases, University of Leipzig, Germany</w:t>
                      </w:r>
                    </w:p>
                    <w:p w14:paraId="36D00D72" w14:textId="13C6247C" w:rsidR="00F26469" w:rsidRPr="0026654D" w:rsidRDefault="00F26469" w:rsidP="00F26469">
                      <w:pPr>
                        <w:pStyle w:val="KeinLeerraum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GB"/>
                        </w:rPr>
                      </w:pPr>
                      <w:r w:rsidRPr="0026654D"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  <w:lang w:val="en-GB"/>
                        </w:rPr>
                        <w:t>d</w:t>
                      </w:r>
                      <w:r w:rsidRPr="0026654D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GB"/>
                        </w:rPr>
                        <w:t xml:space="preserve"> Clinical Trial Centre Leipzig, University of Leipzig, Germany</w:t>
                      </w:r>
                    </w:p>
                    <w:p w14:paraId="66A098AA" w14:textId="33726657" w:rsidR="00F26469" w:rsidRPr="0026654D" w:rsidRDefault="00F26469" w:rsidP="00F26469">
                      <w:pPr>
                        <w:pStyle w:val="KeinLeerraum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GB"/>
                        </w:rPr>
                      </w:pPr>
                      <w:r w:rsidRPr="0026654D"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  <w:lang w:val="en-GB"/>
                        </w:rPr>
                        <w:t xml:space="preserve">e </w:t>
                      </w:r>
                      <w:r w:rsidRPr="0026654D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GB"/>
                        </w:rPr>
                        <w:t>Institute of Pharmacy, University of Regensburg, Germany</w:t>
                      </w:r>
                    </w:p>
                    <w:p w14:paraId="3A0DB230" w14:textId="7D577E0F" w:rsidR="00F26469" w:rsidRPr="0026654D" w:rsidRDefault="00F26469" w:rsidP="00F26469">
                      <w:pPr>
                        <w:pStyle w:val="KeinLeerraum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GB"/>
                        </w:rPr>
                      </w:pPr>
                      <w:r w:rsidRPr="0026654D"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  <w:lang w:val="en-GB"/>
                        </w:rPr>
                        <w:t>f</w:t>
                      </w:r>
                      <w:r w:rsidRPr="0026654D">
                        <w:rPr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Pr="0026654D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GB"/>
                        </w:rPr>
                        <w:t>Dept</w:t>
                      </w:r>
                      <w:r w:rsidR="00BE5641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GB"/>
                        </w:rPr>
                        <w:t>.</w:t>
                      </w:r>
                      <w:r w:rsidRPr="0026654D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GB"/>
                        </w:rPr>
                        <w:t xml:space="preserve"> of Clinical Pharmacology, Medical University of Vienna, Austria</w:t>
                      </w:r>
                    </w:p>
                    <w:p w14:paraId="3A799BA7" w14:textId="75A12CE7" w:rsidR="00F26469" w:rsidRPr="0026654D" w:rsidRDefault="00F26469" w:rsidP="00F26469">
                      <w:pPr>
                        <w:pStyle w:val="KeinLeerraum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GB"/>
                        </w:rPr>
                      </w:pPr>
                      <w:r w:rsidRPr="0026654D"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  <w:lang w:val="en-GB"/>
                        </w:rPr>
                        <w:t>g</w:t>
                      </w:r>
                      <w:r w:rsidR="006745B8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Pr="0026654D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GB"/>
                        </w:rPr>
                        <w:t>D</w:t>
                      </w:r>
                      <w:r w:rsidR="006745B8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GB"/>
                        </w:rPr>
                        <w:t>ep</w:t>
                      </w:r>
                      <w:r w:rsidRPr="0026654D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GB"/>
                        </w:rPr>
                        <w:t>t</w:t>
                      </w:r>
                      <w:r w:rsidR="006745B8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GB"/>
                        </w:rPr>
                        <w:t>.</w:t>
                      </w:r>
                      <w:r w:rsidRPr="0026654D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GB"/>
                        </w:rPr>
                        <w:t xml:space="preserve"> of Anaesthesiology, Intensive Care and Emergency Medicine, Pain Therapy</w:t>
                      </w:r>
                      <w:r w:rsidR="006745B8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GB"/>
                        </w:rPr>
                        <w:t>,</w:t>
                      </w:r>
                      <w:r w:rsidR="006745B8" w:rsidRPr="006745B8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proofErr w:type="spellStart"/>
                      <w:r w:rsidR="006745B8" w:rsidRPr="0026654D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GB"/>
                        </w:rPr>
                        <w:t>Bergmannstrost</w:t>
                      </w:r>
                      <w:proofErr w:type="spellEnd"/>
                      <w:r w:rsidR="006745B8" w:rsidRPr="0026654D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GB"/>
                        </w:rPr>
                        <w:t xml:space="preserve"> Hospital Halle</w:t>
                      </w:r>
                      <w:r w:rsidRPr="0026654D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GB"/>
                        </w:rPr>
                        <w:t>, Germany</w:t>
                      </w:r>
                    </w:p>
                    <w:p w14:paraId="665522B1" w14:textId="77777777" w:rsidR="00F26469" w:rsidRPr="0026654D" w:rsidRDefault="00F26469" w:rsidP="00F26469">
                      <w:pPr>
                        <w:pStyle w:val="KeinLeerraum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GB"/>
                        </w:rPr>
                      </w:pPr>
                      <w:r w:rsidRPr="0026654D"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  <w:lang w:val="en-GB"/>
                        </w:rPr>
                        <w:t xml:space="preserve">h </w:t>
                      </w:r>
                      <w:r w:rsidRPr="0026654D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GB"/>
                        </w:rPr>
                        <w:t xml:space="preserve">Institute of Mathematics, </w:t>
                      </w:r>
                      <w:proofErr w:type="spellStart"/>
                      <w:r w:rsidRPr="0026654D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GB"/>
                        </w:rPr>
                        <w:t>Universitaet</w:t>
                      </w:r>
                      <w:proofErr w:type="spellEnd"/>
                      <w:r w:rsidRPr="0026654D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GB"/>
                        </w:rPr>
                        <w:t xml:space="preserve"> Potsdam, Germany</w:t>
                      </w:r>
                    </w:p>
                    <w:p w14:paraId="149BD09C" w14:textId="77777777" w:rsidR="007A3462" w:rsidRPr="00284F0C" w:rsidRDefault="007A3462" w:rsidP="00F26469">
                      <w:pPr>
                        <w:pStyle w:val="KeinLeerraum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bookmarkStart w:id="1" w:name="_Hlk100172688"/>
                    </w:p>
                    <w:bookmarkEnd w:id="1"/>
                    <w:p w14:paraId="770A51AC" w14:textId="77777777" w:rsidR="00F26469" w:rsidRPr="005901D0" w:rsidRDefault="00F26469" w:rsidP="00F26469">
                      <w:pPr>
                        <w:pStyle w:val="Sections"/>
                        <w:rPr>
                          <w:b w:val="0"/>
                          <w:bCs/>
                          <w:sz w:val="22"/>
                          <w:szCs w:val="20"/>
                          <w:lang w:val="en-GB"/>
                        </w:rPr>
                      </w:pPr>
                      <w:r w:rsidRPr="00B07F70">
                        <w:rPr>
                          <w:sz w:val="22"/>
                          <w:szCs w:val="20"/>
                          <w:lang w:val="en-GB"/>
                        </w:rPr>
                        <w:t>Objectives:</w:t>
                      </w:r>
                      <w:r>
                        <w:rPr>
                          <w:lang w:val="en-GB"/>
                        </w:rPr>
                        <w:t xml:space="preserve"> </w:t>
                      </w:r>
                      <w:r>
                        <w:rPr>
                          <w:b w:val="0"/>
                          <w:bCs/>
                          <w:sz w:val="22"/>
                          <w:szCs w:val="20"/>
                          <w:lang w:val="en-GB"/>
                        </w:rPr>
                        <w:t>Cefazolin</w:t>
                      </w:r>
                      <w:r w:rsidRPr="00436544">
                        <w:rPr>
                          <w:b w:val="0"/>
                          <w:bCs/>
                          <w:sz w:val="22"/>
                          <w:szCs w:val="20"/>
                          <w:lang w:val="en-GB"/>
                        </w:rPr>
                        <w:t xml:space="preserve"> (</w:t>
                      </w:r>
                      <w:r>
                        <w:rPr>
                          <w:b w:val="0"/>
                          <w:bCs/>
                          <w:sz w:val="22"/>
                          <w:szCs w:val="20"/>
                          <w:lang w:val="en-GB"/>
                        </w:rPr>
                        <w:t xml:space="preserve">CEZ) </w:t>
                      </w:r>
                      <w:r w:rsidRPr="00436544">
                        <w:rPr>
                          <w:b w:val="0"/>
                          <w:bCs/>
                          <w:sz w:val="22"/>
                          <w:szCs w:val="20"/>
                          <w:lang w:val="en-GB"/>
                        </w:rPr>
                        <w:t xml:space="preserve">is frequently used for the treatment of </w:t>
                      </w:r>
                      <w:r>
                        <w:rPr>
                          <w:b w:val="0"/>
                          <w:bCs/>
                          <w:sz w:val="22"/>
                          <w:szCs w:val="20"/>
                          <w:lang w:val="en-GB"/>
                        </w:rPr>
                        <w:t xml:space="preserve">skin and soft tissue </w:t>
                      </w:r>
                      <w:r w:rsidRPr="00436544">
                        <w:rPr>
                          <w:b w:val="0"/>
                          <w:bCs/>
                          <w:sz w:val="22"/>
                          <w:szCs w:val="20"/>
                          <w:lang w:val="en-GB"/>
                        </w:rPr>
                        <w:t>infections</w:t>
                      </w:r>
                      <w:r>
                        <w:rPr>
                          <w:b w:val="0"/>
                          <w:bCs/>
                          <w:sz w:val="22"/>
                          <w:szCs w:val="20"/>
                          <w:lang w:val="en-GB"/>
                        </w:rPr>
                        <w:t xml:space="preserve"> (SSTI)</w:t>
                      </w:r>
                      <w:r w:rsidRPr="00436544">
                        <w:rPr>
                          <w:b w:val="0"/>
                          <w:bCs/>
                          <w:sz w:val="22"/>
                          <w:szCs w:val="20"/>
                          <w:lang w:val="en-GB"/>
                        </w:rPr>
                        <w:t xml:space="preserve">, </w:t>
                      </w:r>
                      <w:proofErr w:type="gramStart"/>
                      <w:r w:rsidRPr="00436544">
                        <w:rPr>
                          <w:b w:val="0"/>
                          <w:bCs/>
                          <w:sz w:val="22"/>
                          <w:szCs w:val="20"/>
                          <w:lang w:val="en-GB"/>
                        </w:rPr>
                        <w:t>e.g.</w:t>
                      </w:r>
                      <w:proofErr w:type="gramEnd"/>
                      <w:r w:rsidRPr="00436544">
                        <w:rPr>
                          <w:b w:val="0"/>
                          <w:bCs/>
                          <w:sz w:val="22"/>
                          <w:szCs w:val="20"/>
                          <w:lang w:val="en-GB"/>
                        </w:rPr>
                        <w:t xml:space="preserve"> after surgery. </w:t>
                      </w:r>
                      <w:r>
                        <w:rPr>
                          <w:b w:val="0"/>
                          <w:bCs/>
                          <w:sz w:val="22"/>
                          <w:szCs w:val="20"/>
                          <w:lang w:val="en-GB"/>
                        </w:rPr>
                        <w:t>O</w:t>
                      </w:r>
                      <w:r w:rsidRPr="00436544">
                        <w:rPr>
                          <w:b w:val="0"/>
                          <w:bCs/>
                          <w:sz w:val="22"/>
                          <w:szCs w:val="20"/>
                          <w:lang w:val="en-GB"/>
                        </w:rPr>
                        <w:t>besity has been identified as a risk factor for surgical site infections,</w:t>
                      </w:r>
                      <w:r>
                        <w:rPr>
                          <w:b w:val="0"/>
                          <w:bCs/>
                          <w:sz w:val="22"/>
                          <w:szCs w:val="20"/>
                          <w:lang w:val="en-GB"/>
                        </w:rPr>
                        <w:t xml:space="preserve"> but data</w:t>
                      </w:r>
                      <w:r w:rsidRPr="00436544">
                        <w:rPr>
                          <w:b w:val="0"/>
                          <w:bCs/>
                          <w:sz w:val="22"/>
                          <w:szCs w:val="20"/>
                          <w:lang w:val="en-GB"/>
                        </w:rPr>
                        <w:t xml:space="preserve"> </w:t>
                      </w:r>
                      <w:r>
                        <w:rPr>
                          <w:b w:val="0"/>
                          <w:bCs/>
                          <w:sz w:val="22"/>
                          <w:szCs w:val="20"/>
                          <w:lang w:val="en-GB"/>
                        </w:rPr>
                        <w:t xml:space="preserve">for </w:t>
                      </w:r>
                      <w:r w:rsidRPr="00436544">
                        <w:rPr>
                          <w:b w:val="0"/>
                          <w:bCs/>
                          <w:sz w:val="22"/>
                          <w:szCs w:val="20"/>
                          <w:lang w:val="en-GB"/>
                        </w:rPr>
                        <w:t xml:space="preserve">a quantitative evaluation of its </w:t>
                      </w:r>
                      <w:r>
                        <w:rPr>
                          <w:b w:val="0"/>
                          <w:bCs/>
                          <w:sz w:val="22"/>
                          <w:szCs w:val="20"/>
                          <w:lang w:val="en-GB"/>
                        </w:rPr>
                        <w:t>pharmacokinetics (PK)</w:t>
                      </w:r>
                      <w:r w:rsidRPr="00436544">
                        <w:rPr>
                          <w:b w:val="0"/>
                          <w:bCs/>
                          <w:sz w:val="22"/>
                          <w:szCs w:val="20"/>
                          <w:lang w:val="en-GB"/>
                        </w:rPr>
                        <w:t xml:space="preserve"> </w:t>
                      </w:r>
                      <w:r>
                        <w:rPr>
                          <w:b w:val="0"/>
                          <w:bCs/>
                          <w:sz w:val="22"/>
                          <w:szCs w:val="20"/>
                          <w:lang w:val="en-GB"/>
                        </w:rPr>
                        <w:t>in the interstitial space fluid (ISF) of subcutaneous (</w:t>
                      </w:r>
                      <w:proofErr w:type="spellStart"/>
                      <w:r>
                        <w:rPr>
                          <w:b w:val="0"/>
                          <w:bCs/>
                          <w:sz w:val="22"/>
                          <w:szCs w:val="20"/>
                          <w:lang w:val="en-GB"/>
                        </w:rPr>
                        <w:t>s.c.</w:t>
                      </w:r>
                      <w:proofErr w:type="spellEnd"/>
                      <w:r>
                        <w:rPr>
                          <w:b w:val="0"/>
                          <w:bCs/>
                          <w:sz w:val="22"/>
                          <w:szCs w:val="20"/>
                          <w:lang w:val="en-GB"/>
                        </w:rPr>
                        <w:t>) adipose tissue (</w:t>
                      </w:r>
                      <w:proofErr w:type="gramStart"/>
                      <w:r>
                        <w:rPr>
                          <w:b w:val="0"/>
                          <w:bCs/>
                          <w:sz w:val="22"/>
                          <w:szCs w:val="20"/>
                          <w:lang w:val="en-GB"/>
                        </w:rPr>
                        <w:t>i.e.</w:t>
                      </w:r>
                      <w:proofErr w:type="gramEnd"/>
                      <w:r>
                        <w:rPr>
                          <w:b w:val="0"/>
                          <w:bCs/>
                          <w:sz w:val="22"/>
                          <w:szCs w:val="20"/>
                          <w:lang w:val="en-GB"/>
                        </w:rPr>
                        <w:t xml:space="preserve"> the target site for the treatment of SSTI) </w:t>
                      </w:r>
                      <w:r w:rsidRPr="00436544">
                        <w:rPr>
                          <w:b w:val="0"/>
                          <w:bCs/>
                          <w:sz w:val="22"/>
                          <w:szCs w:val="20"/>
                          <w:lang w:val="en-GB"/>
                        </w:rPr>
                        <w:t xml:space="preserve">in obese patients </w:t>
                      </w:r>
                      <w:r>
                        <w:rPr>
                          <w:b w:val="0"/>
                          <w:bCs/>
                          <w:sz w:val="22"/>
                          <w:szCs w:val="20"/>
                          <w:lang w:val="en-GB"/>
                        </w:rPr>
                        <w:t xml:space="preserve">are scarce. </w:t>
                      </w:r>
                      <w:r w:rsidRPr="00436544">
                        <w:rPr>
                          <w:b w:val="0"/>
                          <w:bCs/>
                          <w:sz w:val="22"/>
                          <w:szCs w:val="20"/>
                          <w:lang w:val="en-GB"/>
                        </w:rPr>
                        <w:t>The aim</w:t>
                      </w:r>
                      <w:r>
                        <w:rPr>
                          <w:b w:val="0"/>
                          <w:bCs/>
                          <w:sz w:val="22"/>
                          <w:szCs w:val="20"/>
                          <w:lang w:val="en-GB"/>
                        </w:rPr>
                        <w:t>s</w:t>
                      </w:r>
                      <w:r w:rsidRPr="00436544">
                        <w:rPr>
                          <w:b w:val="0"/>
                          <w:bCs/>
                          <w:sz w:val="22"/>
                          <w:szCs w:val="20"/>
                          <w:lang w:val="en-GB"/>
                        </w:rPr>
                        <w:t xml:space="preserve"> of this </w:t>
                      </w:r>
                      <w:r>
                        <w:rPr>
                          <w:b w:val="0"/>
                          <w:bCs/>
                          <w:sz w:val="22"/>
                          <w:szCs w:val="20"/>
                          <w:lang w:val="en-GB"/>
                        </w:rPr>
                        <w:t xml:space="preserve">model-based </w:t>
                      </w:r>
                      <w:r w:rsidRPr="00436544">
                        <w:rPr>
                          <w:b w:val="0"/>
                          <w:bCs/>
                          <w:sz w:val="22"/>
                          <w:szCs w:val="20"/>
                          <w:lang w:val="en-GB"/>
                        </w:rPr>
                        <w:t xml:space="preserve">analysis </w:t>
                      </w:r>
                      <w:r>
                        <w:rPr>
                          <w:b w:val="0"/>
                          <w:bCs/>
                          <w:sz w:val="22"/>
                          <w:szCs w:val="20"/>
                          <w:lang w:val="en-GB"/>
                        </w:rPr>
                        <w:t>were</w:t>
                      </w:r>
                      <w:r w:rsidRPr="00436544">
                        <w:rPr>
                          <w:b w:val="0"/>
                          <w:bCs/>
                          <w:sz w:val="22"/>
                          <w:szCs w:val="20"/>
                          <w:lang w:val="en-GB"/>
                        </w:rPr>
                        <w:t xml:space="preserve"> to</w:t>
                      </w:r>
                      <w:r>
                        <w:rPr>
                          <w:b w:val="0"/>
                          <w:bCs/>
                          <w:sz w:val="22"/>
                          <w:szCs w:val="20"/>
                          <w:lang w:val="en-GB"/>
                        </w:rPr>
                        <w:t xml:space="preserve"> quantify (</w:t>
                      </w:r>
                      <w:proofErr w:type="spellStart"/>
                      <w:r>
                        <w:rPr>
                          <w:b w:val="0"/>
                          <w:bCs/>
                          <w:sz w:val="22"/>
                          <w:szCs w:val="20"/>
                          <w:lang w:val="en-GB"/>
                        </w:rPr>
                        <w:t>i</w:t>
                      </w:r>
                      <w:proofErr w:type="spellEnd"/>
                      <w:r>
                        <w:rPr>
                          <w:b w:val="0"/>
                          <w:bCs/>
                          <w:sz w:val="22"/>
                          <w:szCs w:val="20"/>
                          <w:lang w:val="en-GB"/>
                        </w:rPr>
                        <w:t>) CEZ protein binding kinetics and (ii)</w:t>
                      </w:r>
                      <w:r w:rsidRPr="00436544">
                        <w:rPr>
                          <w:b w:val="0"/>
                          <w:bCs/>
                          <w:sz w:val="22"/>
                          <w:szCs w:val="20"/>
                          <w:lang w:val="en-GB"/>
                        </w:rPr>
                        <w:t xml:space="preserve"> </w:t>
                      </w:r>
                      <w:r>
                        <w:rPr>
                          <w:b w:val="0"/>
                          <w:bCs/>
                          <w:sz w:val="22"/>
                          <w:szCs w:val="20"/>
                          <w:lang w:val="en-GB"/>
                        </w:rPr>
                        <w:t xml:space="preserve">target-site penetration </w:t>
                      </w:r>
                      <w:r w:rsidRPr="00436544">
                        <w:rPr>
                          <w:b w:val="0"/>
                          <w:bCs/>
                          <w:sz w:val="22"/>
                          <w:szCs w:val="20"/>
                          <w:lang w:val="en-GB"/>
                        </w:rPr>
                        <w:t xml:space="preserve">in obese </w:t>
                      </w:r>
                      <w:r w:rsidRPr="005901D0">
                        <w:rPr>
                          <w:b w:val="0"/>
                          <w:bCs/>
                          <w:i/>
                          <w:sz w:val="22"/>
                          <w:szCs w:val="20"/>
                          <w:lang w:val="en-GB"/>
                        </w:rPr>
                        <w:t>versus</w:t>
                      </w:r>
                      <w:r w:rsidRPr="00436544">
                        <w:rPr>
                          <w:b w:val="0"/>
                          <w:bCs/>
                          <w:sz w:val="22"/>
                          <w:szCs w:val="20"/>
                          <w:lang w:val="en-GB"/>
                        </w:rPr>
                        <w:t xml:space="preserve"> nonobese surgical patient</w:t>
                      </w:r>
                      <w:r>
                        <w:rPr>
                          <w:b w:val="0"/>
                          <w:bCs/>
                          <w:sz w:val="22"/>
                          <w:szCs w:val="20"/>
                          <w:lang w:val="en-GB"/>
                        </w:rPr>
                        <w:t>s</w:t>
                      </w:r>
                      <w:r w:rsidRPr="00436544">
                        <w:rPr>
                          <w:b w:val="0"/>
                          <w:bCs/>
                          <w:sz w:val="22"/>
                          <w:szCs w:val="20"/>
                          <w:lang w:val="en-GB"/>
                        </w:rPr>
                        <w:t>.</w:t>
                      </w:r>
                    </w:p>
                    <w:p w14:paraId="09A7A08F" w14:textId="3DEF512B" w:rsidR="00F26469" w:rsidRPr="00377EF4" w:rsidRDefault="00F26469" w:rsidP="00F26469">
                      <w:pPr>
                        <w:pStyle w:val="Sections"/>
                        <w:rPr>
                          <w:sz w:val="22"/>
                          <w:szCs w:val="20"/>
                          <w:lang w:val="en-GB"/>
                        </w:rPr>
                      </w:pPr>
                      <w:r w:rsidRPr="00B07F70">
                        <w:rPr>
                          <w:sz w:val="22"/>
                          <w:szCs w:val="20"/>
                          <w:lang w:val="en-GB"/>
                        </w:rPr>
                        <w:t xml:space="preserve">Methods: </w:t>
                      </w:r>
                      <w:r>
                        <w:rPr>
                          <w:b w:val="0"/>
                          <w:sz w:val="22"/>
                          <w:szCs w:val="20"/>
                          <w:lang w:val="en-GB"/>
                        </w:rPr>
                        <w:t>Previously published d</w:t>
                      </w:r>
                      <w:r w:rsidRPr="00436544">
                        <w:rPr>
                          <w:b w:val="0"/>
                          <w:bCs/>
                          <w:sz w:val="22"/>
                          <w:szCs w:val="20"/>
                          <w:lang w:val="en-GB"/>
                        </w:rPr>
                        <w:t>ata</w:t>
                      </w:r>
                      <w:r>
                        <w:rPr>
                          <w:b w:val="0"/>
                          <w:bCs/>
                          <w:sz w:val="22"/>
                          <w:szCs w:val="20"/>
                          <w:lang w:val="en-GB"/>
                        </w:rPr>
                        <w:t xml:space="preserve"> [1,2]</w:t>
                      </w:r>
                      <w:r w:rsidRPr="00436544">
                        <w:rPr>
                          <w:b w:val="0"/>
                          <w:bCs/>
                          <w:sz w:val="22"/>
                          <w:szCs w:val="20"/>
                          <w:lang w:val="en-GB"/>
                        </w:rPr>
                        <w:t xml:space="preserve"> from 15 obese (</w:t>
                      </w:r>
                      <w:proofErr w:type="spellStart"/>
                      <w:r w:rsidRPr="00436544">
                        <w:rPr>
                          <w:b w:val="0"/>
                          <w:bCs/>
                          <w:sz w:val="22"/>
                          <w:szCs w:val="20"/>
                          <w:lang w:val="en-GB"/>
                        </w:rPr>
                        <w:t>BMI</w:t>
                      </w:r>
                      <w:r w:rsidRPr="00430171">
                        <w:rPr>
                          <w:b w:val="0"/>
                          <w:bCs/>
                          <w:sz w:val="22"/>
                          <w:szCs w:val="20"/>
                          <w:vertAlign w:val="subscript"/>
                          <w:lang w:val="en-GB"/>
                        </w:rPr>
                        <w:t>median</w:t>
                      </w:r>
                      <w:proofErr w:type="spellEnd"/>
                      <w:r w:rsidRPr="00436544">
                        <w:rPr>
                          <w:b w:val="0"/>
                          <w:bCs/>
                          <w:sz w:val="22"/>
                          <w:szCs w:val="20"/>
                          <w:lang w:val="en-GB"/>
                        </w:rPr>
                        <w:t>=</w:t>
                      </w:r>
                      <w:r>
                        <w:rPr>
                          <w:b w:val="0"/>
                          <w:bCs/>
                          <w:sz w:val="22"/>
                          <w:szCs w:val="20"/>
                          <w:lang w:val="en-GB"/>
                        </w:rPr>
                        <w:t>52.6</w:t>
                      </w:r>
                      <w:r w:rsidRPr="00436544">
                        <w:rPr>
                          <w:b w:val="0"/>
                          <w:bCs/>
                          <w:sz w:val="22"/>
                          <w:szCs w:val="20"/>
                          <w:lang w:val="en-GB"/>
                        </w:rPr>
                        <w:t xml:space="preserve"> kg/m</w:t>
                      </w:r>
                      <w:r w:rsidRPr="005901D0">
                        <w:rPr>
                          <w:b w:val="0"/>
                          <w:bCs/>
                          <w:sz w:val="22"/>
                          <w:szCs w:val="20"/>
                          <w:vertAlign w:val="superscript"/>
                          <w:lang w:val="en-GB"/>
                        </w:rPr>
                        <w:t>2</w:t>
                      </w:r>
                      <w:r w:rsidRPr="00436544">
                        <w:rPr>
                          <w:b w:val="0"/>
                          <w:bCs/>
                          <w:sz w:val="22"/>
                          <w:szCs w:val="20"/>
                          <w:lang w:val="en-GB"/>
                        </w:rPr>
                        <w:t>) and 15 nonobese patients (</w:t>
                      </w:r>
                      <w:proofErr w:type="spellStart"/>
                      <w:r w:rsidRPr="00436544">
                        <w:rPr>
                          <w:b w:val="0"/>
                          <w:bCs/>
                          <w:sz w:val="22"/>
                          <w:szCs w:val="20"/>
                          <w:lang w:val="en-GB"/>
                        </w:rPr>
                        <w:t>BMI</w:t>
                      </w:r>
                      <w:r w:rsidRPr="00430171">
                        <w:rPr>
                          <w:b w:val="0"/>
                          <w:bCs/>
                          <w:sz w:val="22"/>
                          <w:szCs w:val="20"/>
                          <w:vertAlign w:val="subscript"/>
                          <w:lang w:val="en-GB"/>
                        </w:rPr>
                        <w:t>median</w:t>
                      </w:r>
                      <w:proofErr w:type="spellEnd"/>
                      <w:r w:rsidRPr="00436544">
                        <w:rPr>
                          <w:b w:val="0"/>
                          <w:bCs/>
                          <w:sz w:val="22"/>
                          <w:szCs w:val="20"/>
                          <w:lang w:val="en-GB"/>
                        </w:rPr>
                        <w:t>=</w:t>
                      </w:r>
                      <w:r>
                        <w:rPr>
                          <w:b w:val="0"/>
                          <w:bCs/>
                          <w:sz w:val="22"/>
                          <w:szCs w:val="20"/>
                          <w:lang w:val="en-GB"/>
                        </w:rPr>
                        <w:t>26.0</w:t>
                      </w:r>
                      <w:r w:rsidRPr="00436544">
                        <w:rPr>
                          <w:b w:val="0"/>
                          <w:bCs/>
                          <w:sz w:val="22"/>
                          <w:szCs w:val="20"/>
                          <w:lang w:val="en-GB"/>
                        </w:rPr>
                        <w:t xml:space="preserve"> kg/m</w:t>
                      </w:r>
                      <w:r w:rsidRPr="005901D0">
                        <w:rPr>
                          <w:b w:val="0"/>
                          <w:bCs/>
                          <w:sz w:val="22"/>
                          <w:szCs w:val="20"/>
                          <w:vertAlign w:val="superscript"/>
                          <w:lang w:val="en-GB"/>
                        </w:rPr>
                        <w:t>2</w:t>
                      </w:r>
                      <w:r w:rsidRPr="00436544">
                        <w:rPr>
                          <w:b w:val="0"/>
                          <w:bCs/>
                          <w:sz w:val="22"/>
                          <w:szCs w:val="20"/>
                          <w:lang w:val="en-GB"/>
                        </w:rPr>
                        <w:t xml:space="preserve">), receiving a single dose of </w:t>
                      </w:r>
                      <w:r>
                        <w:rPr>
                          <w:b w:val="0"/>
                          <w:bCs/>
                          <w:sz w:val="22"/>
                          <w:szCs w:val="20"/>
                          <w:lang w:val="en-GB"/>
                        </w:rPr>
                        <w:t>2</w:t>
                      </w:r>
                      <w:r w:rsidRPr="00436544">
                        <w:rPr>
                          <w:b w:val="0"/>
                          <w:bCs/>
                          <w:sz w:val="22"/>
                          <w:szCs w:val="20"/>
                          <w:lang w:val="en-GB"/>
                        </w:rPr>
                        <w:t xml:space="preserve">000 mg </w:t>
                      </w:r>
                      <w:r>
                        <w:rPr>
                          <w:b w:val="0"/>
                          <w:bCs/>
                          <w:sz w:val="22"/>
                          <w:szCs w:val="20"/>
                          <w:lang w:val="en-GB"/>
                        </w:rPr>
                        <w:t>CEZ</w:t>
                      </w:r>
                      <w:r w:rsidRPr="00436544">
                        <w:rPr>
                          <w:b w:val="0"/>
                          <w:bCs/>
                          <w:sz w:val="22"/>
                          <w:szCs w:val="20"/>
                          <w:lang w:val="en-GB"/>
                        </w:rPr>
                        <w:t xml:space="preserve"> (30-min intravenously) for infection prophylaxis before abdominal surgery, were included in the analysis</w:t>
                      </w:r>
                      <w:r>
                        <w:rPr>
                          <w:b w:val="0"/>
                          <w:bCs/>
                          <w:sz w:val="22"/>
                          <w:szCs w:val="20"/>
                          <w:lang w:val="en-GB"/>
                        </w:rPr>
                        <w:t xml:space="preserve"> [1,3]</w:t>
                      </w:r>
                      <w:r w:rsidRPr="00436544">
                        <w:rPr>
                          <w:b w:val="0"/>
                          <w:bCs/>
                          <w:sz w:val="22"/>
                          <w:szCs w:val="20"/>
                          <w:lang w:val="en-GB"/>
                        </w:rPr>
                        <w:t xml:space="preserve">. Rich PK sampling was </w:t>
                      </w:r>
                      <w:r>
                        <w:rPr>
                          <w:b w:val="0"/>
                          <w:bCs/>
                          <w:sz w:val="22"/>
                          <w:szCs w:val="20"/>
                          <w:lang w:val="en-GB"/>
                        </w:rPr>
                        <w:t>available</w:t>
                      </w:r>
                      <w:r w:rsidRPr="00436544">
                        <w:rPr>
                          <w:b w:val="0"/>
                          <w:bCs/>
                          <w:sz w:val="22"/>
                          <w:szCs w:val="20"/>
                          <w:lang w:val="en-GB"/>
                        </w:rPr>
                        <w:t xml:space="preserve"> </w:t>
                      </w:r>
                      <w:r>
                        <w:rPr>
                          <w:b w:val="0"/>
                          <w:bCs/>
                          <w:sz w:val="22"/>
                          <w:szCs w:val="20"/>
                          <w:lang w:val="en-GB"/>
                        </w:rPr>
                        <w:t>over</w:t>
                      </w:r>
                      <w:r w:rsidRPr="00436544">
                        <w:rPr>
                          <w:b w:val="0"/>
                          <w:bCs/>
                          <w:sz w:val="22"/>
                          <w:szCs w:val="20"/>
                          <w:lang w:val="en-GB"/>
                        </w:rPr>
                        <w:t xml:space="preserve"> 8 h in plasma (</w:t>
                      </w:r>
                      <w:proofErr w:type="spellStart"/>
                      <w:r w:rsidRPr="00436544">
                        <w:rPr>
                          <w:b w:val="0"/>
                          <w:bCs/>
                          <w:sz w:val="22"/>
                          <w:szCs w:val="20"/>
                          <w:lang w:val="en-GB"/>
                        </w:rPr>
                        <w:t>n</w:t>
                      </w:r>
                      <w:r w:rsidRPr="005901D0">
                        <w:rPr>
                          <w:b w:val="0"/>
                          <w:bCs/>
                          <w:sz w:val="22"/>
                          <w:szCs w:val="20"/>
                          <w:vertAlign w:val="subscript"/>
                          <w:lang w:val="en-GB"/>
                        </w:rPr>
                        <w:t>total</w:t>
                      </w:r>
                      <w:proofErr w:type="spellEnd"/>
                      <w:r w:rsidRPr="00436544">
                        <w:rPr>
                          <w:b w:val="0"/>
                          <w:bCs/>
                          <w:sz w:val="22"/>
                          <w:szCs w:val="20"/>
                          <w:lang w:val="en-GB"/>
                        </w:rPr>
                        <w:t>=</w:t>
                      </w:r>
                      <w:r>
                        <w:rPr>
                          <w:b w:val="0"/>
                          <w:bCs/>
                          <w:sz w:val="22"/>
                          <w:szCs w:val="20"/>
                          <w:lang w:val="en-GB"/>
                        </w:rPr>
                        <w:t>240</w:t>
                      </w:r>
                      <w:r w:rsidRPr="00436544">
                        <w:rPr>
                          <w:b w:val="0"/>
                          <w:bCs/>
                          <w:sz w:val="22"/>
                          <w:szCs w:val="20"/>
                          <w:lang w:val="en-GB"/>
                        </w:rPr>
                        <w:t xml:space="preserve">) and via </w:t>
                      </w:r>
                      <w:proofErr w:type="spellStart"/>
                      <w:r w:rsidRPr="00436544">
                        <w:rPr>
                          <w:b w:val="0"/>
                          <w:bCs/>
                          <w:sz w:val="22"/>
                          <w:szCs w:val="20"/>
                          <w:lang w:val="en-GB"/>
                        </w:rPr>
                        <w:t>microdialysis</w:t>
                      </w:r>
                      <w:proofErr w:type="spellEnd"/>
                      <w:r w:rsidRPr="00436544">
                        <w:rPr>
                          <w:b w:val="0"/>
                          <w:bCs/>
                          <w:sz w:val="22"/>
                          <w:szCs w:val="20"/>
                          <w:lang w:val="en-GB"/>
                        </w:rPr>
                        <w:t xml:space="preserve"> in the ISF of </w:t>
                      </w:r>
                      <w:proofErr w:type="spellStart"/>
                      <w:r>
                        <w:rPr>
                          <w:b w:val="0"/>
                          <w:bCs/>
                          <w:sz w:val="22"/>
                          <w:szCs w:val="20"/>
                          <w:lang w:val="en-GB"/>
                        </w:rPr>
                        <w:t>s.c.</w:t>
                      </w:r>
                      <w:proofErr w:type="spellEnd"/>
                      <w:r>
                        <w:rPr>
                          <w:b w:val="0"/>
                          <w:bCs/>
                          <w:sz w:val="22"/>
                          <w:szCs w:val="20"/>
                          <w:lang w:val="en-GB"/>
                        </w:rPr>
                        <w:t xml:space="preserve"> </w:t>
                      </w:r>
                      <w:r w:rsidRPr="00436544">
                        <w:rPr>
                          <w:b w:val="0"/>
                          <w:bCs/>
                          <w:sz w:val="22"/>
                          <w:szCs w:val="20"/>
                          <w:lang w:val="en-GB"/>
                        </w:rPr>
                        <w:t>adipose tissue (</w:t>
                      </w:r>
                      <w:proofErr w:type="spellStart"/>
                      <w:r w:rsidRPr="00436544">
                        <w:rPr>
                          <w:b w:val="0"/>
                          <w:bCs/>
                          <w:sz w:val="22"/>
                          <w:szCs w:val="20"/>
                          <w:lang w:val="en-GB"/>
                        </w:rPr>
                        <w:t>n</w:t>
                      </w:r>
                      <w:r w:rsidRPr="005901D0">
                        <w:rPr>
                          <w:b w:val="0"/>
                          <w:bCs/>
                          <w:sz w:val="22"/>
                          <w:szCs w:val="20"/>
                          <w:vertAlign w:val="subscript"/>
                          <w:lang w:val="en-GB"/>
                        </w:rPr>
                        <w:t>total</w:t>
                      </w:r>
                      <w:proofErr w:type="spellEnd"/>
                      <w:r w:rsidRPr="00436544">
                        <w:rPr>
                          <w:b w:val="0"/>
                          <w:bCs/>
                          <w:sz w:val="22"/>
                          <w:szCs w:val="20"/>
                          <w:lang w:val="en-GB"/>
                        </w:rPr>
                        <w:t>=</w:t>
                      </w:r>
                      <w:r>
                        <w:rPr>
                          <w:b w:val="0"/>
                          <w:bCs/>
                          <w:sz w:val="22"/>
                          <w:szCs w:val="20"/>
                          <w:lang w:val="en-GB"/>
                        </w:rPr>
                        <w:t>591</w:t>
                      </w:r>
                      <w:r w:rsidRPr="00436544">
                        <w:rPr>
                          <w:b w:val="0"/>
                          <w:bCs/>
                          <w:sz w:val="22"/>
                          <w:szCs w:val="20"/>
                          <w:lang w:val="en-GB"/>
                        </w:rPr>
                        <w:t>).</w:t>
                      </w:r>
                      <w:r>
                        <w:rPr>
                          <w:b w:val="0"/>
                          <w:bCs/>
                          <w:sz w:val="22"/>
                          <w:szCs w:val="20"/>
                          <w:lang w:val="en-GB"/>
                        </w:rPr>
                        <w:t xml:space="preserve"> Plasma samples were additionally subjected to ultrafiltration to measure unbound CEZ concentration </w:t>
                      </w:r>
                      <w:r w:rsidRPr="00436544">
                        <w:rPr>
                          <w:b w:val="0"/>
                          <w:bCs/>
                          <w:sz w:val="22"/>
                          <w:szCs w:val="20"/>
                          <w:lang w:val="en-GB"/>
                        </w:rPr>
                        <w:t>(</w:t>
                      </w:r>
                      <w:proofErr w:type="spellStart"/>
                      <w:r w:rsidRPr="00436544">
                        <w:rPr>
                          <w:b w:val="0"/>
                          <w:bCs/>
                          <w:sz w:val="22"/>
                          <w:szCs w:val="20"/>
                          <w:lang w:val="en-GB"/>
                        </w:rPr>
                        <w:t>n</w:t>
                      </w:r>
                      <w:r w:rsidRPr="005901D0">
                        <w:rPr>
                          <w:b w:val="0"/>
                          <w:bCs/>
                          <w:sz w:val="22"/>
                          <w:szCs w:val="20"/>
                          <w:vertAlign w:val="subscript"/>
                          <w:lang w:val="en-GB"/>
                        </w:rPr>
                        <w:t>total</w:t>
                      </w:r>
                      <w:proofErr w:type="spellEnd"/>
                      <w:r w:rsidRPr="00436544">
                        <w:rPr>
                          <w:b w:val="0"/>
                          <w:bCs/>
                          <w:sz w:val="22"/>
                          <w:szCs w:val="20"/>
                          <w:lang w:val="en-GB"/>
                        </w:rPr>
                        <w:t>=</w:t>
                      </w:r>
                      <w:r>
                        <w:rPr>
                          <w:b w:val="0"/>
                          <w:bCs/>
                          <w:sz w:val="22"/>
                          <w:szCs w:val="20"/>
                          <w:lang w:val="en-GB"/>
                        </w:rPr>
                        <w:t>120</w:t>
                      </w:r>
                      <w:r w:rsidRPr="00436544">
                        <w:rPr>
                          <w:b w:val="0"/>
                          <w:bCs/>
                          <w:sz w:val="22"/>
                          <w:szCs w:val="20"/>
                          <w:lang w:val="en-GB"/>
                        </w:rPr>
                        <w:t>)</w:t>
                      </w:r>
                      <w:r>
                        <w:rPr>
                          <w:b w:val="0"/>
                          <w:bCs/>
                          <w:sz w:val="22"/>
                          <w:szCs w:val="20"/>
                          <w:lang w:val="en-GB"/>
                        </w:rPr>
                        <w:t>. Nonlinear mixed-</w:t>
                      </w:r>
                      <w:r w:rsidRPr="00436544">
                        <w:rPr>
                          <w:b w:val="0"/>
                          <w:bCs/>
                          <w:sz w:val="22"/>
                          <w:szCs w:val="20"/>
                          <w:lang w:val="en-GB"/>
                        </w:rPr>
                        <w:t xml:space="preserve">effects (NLME) PK modelling was </w:t>
                      </w:r>
                      <w:r>
                        <w:rPr>
                          <w:b w:val="0"/>
                          <w:bCs/>
                          <w:sz w:val="22"/>
                          <w:szCs w:val="20"/>
                          <w:lang w:val="en-GB"/>
                        </w:rPr>
                        <w:t>applied</w:t>
                      </w:r>
                      <w:r w:rsidRPr="00436544">
                        <w:rPr>
                          <w:b w:val="0"/>
                          <w:bCs/>
                          <w:sz w:val="22"/>
                          <w:szCs w:val="20"/>
                          <w:lang w:val="en-GB"/>
                        </w:rPr>
                        <w:t xml:space="preserve"> to </w:t>
                      </w:r>
                      <w:r>
                        <w:rPr>
                          <w:b w:val="0"/>
                          <w:bCs/>
                          <w:sz w:val="22"/>
                          <w:szCs w:val="20"/>
                          <w:lang w:val="en-GB"/>
                        </w:rPr>
                        <w:t>characterise</w:t>
                      </w:r>
                      <w:r w:rsidRPr="00436544">
                        <w:rPr>
                          <w:b w:val="0"/>
                          <w:bCs/>
                          <w:sz w:val="22"/>
                          <w:szCs w:val="20"/>
                          <w:lang w:val="en-GB"/>
                        </w:rPr>
                        <w:t xml:space="preserve"> </w:t>
                      </w:r>
                      <w:r>
                        <w:rPr>
                          <w:b w:val="0"/>
                          <w:bCs/>
                          <w:sz w:val="22"/>
                          <w:szCs w:val="20"/>
                          <w:lang w:val="en-GB"/>
                        </w:rPr>
                        <w:t xml:space="preserve">CEZ protein binding kinetics and to evaluate </w:t>
                      </w:r>
                      <w:r w:rsidRPr="00436544">
                        <w:rPr>
                          <w:b w:val="0"/>
                          <w:bCs/>
                          <w:sz w:val="22"/>
                          <w:szCs w:val="20"/>
                          <w:lang w:val="en-GB"/>
                        </w:rPr>
                        <w:t xml:space="preserve">differences in </w:t>
                      </w:r>
                      <w:r>
                        <w:rPr>
                          <w:b w:val="0"/>
                          <w:bCs/>
                          <w:sz w:val="22"/>
                          <w:szCs w:val="20"/>
                          <w:lang w:val="en-GB"/>
                        </w:rPr>
                        <w:t xml:space="preserve">target-site penetration index, as </w:t>
                      </w:r>
                      <w:r w:rsidRPr="004500E2">
                        <w:rPr>
                          <w:b w:val="0"/>
                          <w:bCs/>
                          <w:sz w:val="22"/>
                          <w:szCs w:val="20"/>
                          <w:lang w:val="en-GB"/>
                        </w:rPr>
                        <w:t>the ratio of unbound</w:t>
                      </w:r>
                      <w:r>
                        <w:rPr>
                          <w:b w:val="0"/>
                          <w:bCs/>
                          <w:sz w:val="22"/>
                          <w:szCs w:val="20"/>
                          <w:lang w:val="en-GB"/>
                        </w:rPr>
                        <w:t xml:space="preserve"> CEZ</w:t>
                      </w:r>
                      <w:r w:rsidRPr="004500E2">
                        <w:rPr>
                          <w:b w:val="0"/>
                          <w:bCs/>
                          <w:sz w:val="22"/>
                          <w:szCs w:val="20"/>
                          <w:lang w:val="en-GB"/>
                        </w:rPr>
                        <w:t xml:space="preserve"> AUC</w:t>
                      </w:r>
                      <w:r w:rsidRPr="004500E2">
                        <w:rPr>
                          <w:b w:val="0"/>
                          <w:bCs/>
                          <w:sz w:val="22"/>
                          <w:szCs w:val="20"/>
                          <w:vertAlign w:val="subscript"/>
                          <w:lang w:val="en-GB"/>
                        </w:rPr>
                        <w:t>0-8h</w:t>
                      </w:r>
                      <w:r w:rsidRPr="004500E2">
                        <w:rPr>
                          <w:b w:val="0"/>
                          <w:bCs/>
                          <w:sz w:val="22"/>
                          <w:szCs w:val="20"/>
                          <w:lang w:val="en-GB"/>
                        </w:rPr>
                        <w:t xml:space="preserve"> in </w:t>
                      </w:r>
                      <w:proofErr w:type="spellStart"/>
                      <w:r w:rsidRPr="004500E2">
                        <w:rPr>
                          <w:b w:val="0"/>
                          <w:bCs/>
                          <w:sz w:val="22"/>
                          <w:szCs w:val="20"/>
                          <w:lang w:val="en-GB"/>
                        </w:rPr>
                        <w:t>target-</w:t>
                      </w:r>
                      <w:proofErr w:type="gramStart"/>
                      <w:r w:rsidRPr="004500E2">
                        <w:rPr>
                          <w:b w:val="0"/>
                          <w:bCs/>
                          <w:sz w:val="22"/>
                          <w:szCs w:val="20"/>
                          <w:lang w:val="en-GB"/>
                        </w:rPr>
                        <w:t>site:plasma</w:t>
                      </w:r>
                      <w:proofErr w:type="spellEnd"/>
                      <w:proofErr w:type="gramEnd"/>
                      <w:r w:rsidRPr="004500E2">
                        <w:rPr>
                          <w:b w:val="0"/>
                          <w:bCs/>
                          <w:sz w:val="22"/>
                          <w:szCs w:val="20"/>
                          <w:lang w:val="en-GB"/>
                        </w:rPr>
                        <w:t xml:space="preserve"> </w:t>
                      </w:r>
                      <w:r>
                        <w:rPr>
                          <w:b w:val="0"/>
                          <w:bCs/>
                          <w:sz w:val="22"/>
                          <w:szCs w:val="20"/>
                          <w:lang w:val="en-GB"/>
                        </w:rPr>
                        <w:t>(PI=</w:t>
                      </w:r>
                      <w:proofErr w:type="spellStart"/>
                      <w:r w:rsidRPr="00DF2DF6">
                        <w:rPr>
                          <w:b w:val="0"/>
                          <w:bCs/>
                          <w:i/>
                          <w:sz w:val="22"/>
                          <w:szCs w:val="20"/>
                          <w:lang w:val="en-GB"/>
                        </w:rPr>
                        <w:t>f</w:t>
                      </w:r>
                      <w:r w:rsidRPr="00DF2DF6">
                        <w:rPr>
                          <w:b w:val="0"/>
                          <w:bCs/>
                          <w:sz w:val="22"/>
                          <w:szCs w:val="20"/>
                          <w:lang w:val="en-GB"/>
                        </w:rPr>
                        <w:t>AUC</w:t>
                      </w:r>
                      <w:r>
                        <w:rPr>
                          <w:b w:val="0"/>
                          <w:bCs/>
                          <w:sz w:val="22"/>
                          <w:szCs w:val="20"/>
                          <w:vertAlign w:val="subscript"/>
                          <w:lang w:val="en-GB"/>
                        </w:rPr>
                        <w:t>target</w:t>
                      </w:r>
                      <w:proofErr w:type="spellEnd"/>
                      <w:r>
                        <w:rPr>
                          <w:b w:val="0"/>
                          <w:bCs/>
                          <w:sz w:val="22"/>
                          <w:szCs w:val="20"/>
                          <w:vertAlign w:val="subscript"/>
                          <w:lang w:val="en-GB"/>
                        </w:rPr>
                        <w:t>, 0</w:t>
                      </w:r>
                      <w:r>
                        <w:rPr>
                          <w:b w:val="0"/>
                          <w:bCs/>
                          <w:sz w:val="22"/>
                          <w:szCs w:val="20"/>
                          <w:vertAlign w:val="subscript"/>
                          <w:lang w:val="en-GB"/>
                        </w:rPr>
                        <w:noBreakHyphen/>
                      </w:r>
                      <w:r w:rsidRPr="004500E2">
                        <w:rPr>
                          <w:b w:val="0"/>
                          <w:bCs/>
                          <w:sz w:val="22"/>
                          <w:szCs w:val="20"/>
                          <w:vertAlign w:val="subscript"/>
                          <w:lang w:val="en-GB"/>
                        </w:rPr>
                        <w:t>8h</w:t>
                      </w:r>
                      <w:r w:rsidRPr="00DF2DF6">
                        <w:rPr>
                          <w:b w:val="0"/>
                          <w:bCs/>
                          <w:sz w:val="22"/>
                          <w:szCs w:val="20"/>
                          <w:lang w:val="en-GB"/>
                        </w:rPr>
                        <w:t>/</w:t>
                      </w:r>
                      <w:proofErr w:type="spellStart"/>
                      <w:r w:rsidRPr="00DF2DF6">
                        <w:rPr>
                          <w:b w:val="0"/>
                          <w:bCs/>
                          <w:i/>
                          <w:sz w:val="22"/>
                          <w:szCs w:val="20"/>
                          <w:lang w:val="en-GB"/>
                        </w:rPr>
                        <w:t>f</w:t>
                      </w:r>
                      <w:r w:rsidRPr="00DF2DF6">
                        <w:rPr>
                          <w:b w:val="0"/>
                          <w:bCs/>
                          <w:sz w:val="22"/>
                          <w:szCs w:val="20"/>
                          <w:lang w:val="en-GB"/>
                        </w:rPr>
                        <w:t>AUC</w:t>
                      </w:r>
                      <w:r w:rsidRPr="00DF2DF6">
                        <w:rPr>
                          <w:b w:val="0"/>
                          <w:bCs/>
                          <w:sz w:val="22"/>
                          <w:szCs w:val="20"/>
                          <w:vertAlign w:val="subscript"/>
                          <w:lang w:val="en-GB"/>
                        </w:rPr>
                        <w:t>pla</w:t>
                      </w:r>
                      <w:proofErr w:type="spellEnd"/>
                      <w:r>
                        <w:rPr>
                          <w:b w:val="0"/>
                          <w:bCs/>
                          <w:sz w:val="22"/>
                          <w:szCs w:val="20"/>
                          <w:vertAlign w:val="subscript"/>
                          <w:lang w:val="en-GB"/>
                        </w:rPr>
                        <w:t>, </w:t>
                      </w:r>
                      <w:r w:rsidRPr="004500E2">
                        <w:rPr>
                          <w:b w:val="0"/>
                          <w:bCs/>
                          <w:sz w:val="22"/>
                          <w:szCs w:val="20"/>
                          <w:vertAlign w:val="subscript"/>
                          <w:lang w:val="en-GB"/>
                        </w:rPr>
                        <w:t>0-8h</w:t>
                      </w:r>
                      <w:r>
                        <w:rPr>
                          <w:b w:val="0"/>
                          <w:bCs/>
                          <w:sz w:val="22"/>
                          <w:szCs w:val="20"/>
                          <w:lang w:val="en-GB"/>
                        </w:rPr>
                        <w:t>)</w:t>
                      </w:r>
                      <w:r>
                        <w:rPr>
                          <w:b w:val="0"/>
                          <w:bCs/>
                          <w:sz w:val="22"/>
                          <w:szCs w:val="20"/>
                          <w:vertAlign w:val="subscript"/>
                          <w:lang w:val="en-GB"/>
                        </w:rPr>
                        <w:t>,</w:t>
                      </w:r>
                      <w:r>
                        <w:rPr>
                          <w:b w:val="0"/>
                          <w:bCs/>
                          <w:sz w:val="22"/>
                          <w:szCs w:val="20"/>
                          <w:lang w:val="en-GB"/>
                        </w:rPr>
                        <w:t xml:space="preserve"> </w:t>
                      </w:r>
                      <w:r w:rsidRPr="00436544">
                        <w:rPr>
                          <w:b w:val="0"/>
                          <w:bCs/>
                          <w:sz w:val="22"/>
                          <w:szCs w:val="20"/>
                          <w:lang w:val="en-GB"/>
                        </w:rPr>
                        <w:t>between patient groups.</w:t>
                      </w:r>
                      <w:r>
                        <w:rPr>
                          <w:b w:val="0"/>
                          <w:bCs/>
                          <w:sz w:val="22"/>
                          <w:szCs w:val="20"/>
                          <w:lang w:val="en-GB"/>
                        </w:rPr>
                        <w:t xml:space="preserve"> </w:t>
                      </w:r>
                    </w:p>
                    <w:p w14:paraId="71536561" w14:textId="77777777" w:rsidR="00F26469" w:rsidRPr="00B07F70" w:rsidRDefault="00F26469" w:rsidP="00F26469">
                      <w:pPr>
                        <w:pStyle w:val="Sections"/>
                        <w:rPr>
                          <w:sz w:val="22"/>
                          <w:szCs w:val="20"/>
                          <w:lang w:val="en-GB"/>
                        </w:rPr>
                      </w:pPr>
                      <w:r w:rsidRPr="00B07F70">
                        <w:rPr>
                          <w:sz w:val="22"/>
                          <w:szCs w:val="20"/>
                          <w:lang w:val="en-GB"/>
                        </w:rPr>
                        <w:t>Results:</w:t>
                      </w:r>
                      <w:r>
                        <w:rPr>
                          <w:sz w:val="22"/>
                          <w:szCs w:val="20"/>
                          <w:lang w:val="en-GB"/>
                        </w:rPr>
                        <w:t xml:space="preserve"> </w:t>
                      </w:r>
                      <w:r>
                        <w:rPr>
                          <w:b w:val="0"/>
                          <w:bCs/>
                          <w:sz w:val="22"/>
                          <w:szCs w:val="20"/>
                          <w:lang w:val="en-GB"/>
                        </w:rPr>
                        <w:t>Preliminary results by a two-compartment (target-site concentrations attributed to the peripheral compartment) NLME PK model with interindividual variability on clearance and the central volume of distribution suggested that CEZ exhibits saturable protein binding, with a maximum binding capacity (B</w:t>
                      </w:r>
                      <w:r w:rsidRPr="002A3B9A">
                        <w:rPr>
                          <w:b w:val="0"/>
                          <w:bCs/>
                          <w:sz w:val="22"/>
                          <w:szCs w:val="20"/>
                          <w:vertAlign w:val="subscript"/>
                          <w:lang w:val="en-GB"/>
                        </w:rPr>
                        <w:t>max</w:t>
                      </w:r>
                      <w:r>
                        <w:rPr>
                          <w:b w:val="0"/>
                          <w:bCs/>
                          <w:sz w:val="22"/>
                          <w:szCs w:val="20"/>
                          <w:lang w:val="en-GB"/>
                        </w:rPr>
                        <w:t>) of 234 mg/L and dissociation constant (K</w:t>
                      </w:r>
                      <w:r w:rsidRPr="002A3B9A">
                        <w:rPr>
                          <w:b w:val="0"/>
                          <w:bCs/>
                          <w:sz w:val="22"/>
                          <w:szCs w:val="20"/>
                          <w:vertAlign w:val="subscript"/>
                          <w:lang w:val="en-GB"/>
                        </w:rPr>
                        <w:t>d</w:t>
                      </w:r>
                      <w:r>
                        <w:rPr>
                          <w:b w:val="0"/>
                          <w:bCs/>
                          <w:sz w:val="22"/>
                          <w:szCs w:val="20"/>
                          <w:lang w:val="en-GB"/>
                        </w:rPr>
                        <w:t>) of 60.6 mg/L. Precision of the parameter estimates was high (relative standard error≤27.9%) and PI</w:t>
                      </w:r>
                      <w:r w:rsidRPr="004500E2">
                        <w:t xml:space="preserve"> </w:t>
                      </w:r>
                      <w:r>
                        <w:rPr>
                          <w:b w:val="0"/>
                          <w:bCs/>
                          <w:sz w:val="22"/>
                          <w:szCs w:val="20"/>
                          <w:lang w:val="en-GB"/>
                        </w:rPr>
                        <w:t>appeared</w:t>
                      </w:r>
                      <w:r w:rsidRPr="004500E2">
                        <w:rPr>
                          <w:b w:val="0"/>
                          <w:bCs/>
                          <w:sz w:val="22"/>
                          <w:szCs w:val="20"/>
                          <w:lang w:val="en-GB"/>
                        </w:rPr>
                        <w:t xml:space="preserve"> lower in obese (</w:t>
                      </w:r>
                      <w:proofErr w:type="spellStart"/>
                      <w:r w:rsidRPr="004500E2">
                        <w:rPr>
                          <w:b w:val="0"/>
                          <w:bCs/>
                          <w:sz w:val="22"/>
                          <w:szCs w:val="20"/>
                          <w:lang w:val="en-GB"/>
                        </w:rPr>
                        <w:t>PI</w:t>
                      </w:r>
                      <w:r>
                        <w:rPr>
                          <w:b w:val="0"/>
                          <w:bCs/>
                          <w:sz w:val="22"/>
                          <w:szCs w:val="20"/>
                          <w:vertAlign w:val="subscript"/>
                          <w:lang w:val="en-GB"/>
                        </w:rPr>
                        <w:t>median</w:t>
                      </w:r>
                      <w:proofErr w:type="spellEnd"/>
                      <w:r w:rsidRPr="004500E2">
                        <w:rPr>
                          <w:b w:val="0"/>
                          <w:bCs/>
                          <w:sz w:val="22"/>
                          <w:szCs w:val="20"/>
                          <w:lang w:val="en-GB"/>
                        </w:rPr>
                        <w:t>=0.</w:t>
                      </w:r>
                      <w:r w:rsidRPr="00BA55C0">
                        <w:rPr>
                          <w:b w:val="0"/>
                          <w:bCs/>
                          <w:sz w:val="22"/>
                          <w:szCs w:val="20"/>
                          <w:lang w:val="en-GB"/>
                        </w:rPr>
                        <w:t>576</w:t>
                      </w:r>
                      <w:r>
                        <w:rPr>
                          <w:b w:val="0"/>
                          <w:bCs/>
                          <w:sz w:val="22"/>
                          <w:szCs w:val="20"/>
                          <w:lang w:val="en-GB"/>
                        </w:rPr>
                        <w:t>, range=</w:t>
                      </w:r>
                      <w:r w:rsidRPr="00BA55C0">
                        <w:rPr>
                          <w:b w:val="0"/>
                          <w:bCs/>
                          <w:sz w:val="22"/>
                          <w:szCs w:val="20"/>
                          <w:lang w:val="en-GB"/>
                        </w:rPr>
                        <w:t>0.464-0.717</w:t>
                      </w:r>
                      <w:r w:rsidRPr="004500E2">
                        <w:rPr>
                          <w:b w:val="0"/>
                          <w:bCs/>
                          <w:sz w:val="22"/>
                          <w:szCs w:val="20"/>
                          <w:lang w:val="en-GB"/>
                        </w:rPr>
                        <w:t xml:space="preserve">) </w:t>
                      </w:r>
                      <w:r w:rsidRPr="004500E2">
                        <w:rPr>
                          <w:b w:val="0"/>
                          <w:bCs/>
                          <w:i/>
                          <w:sz w:val="22"/>
                          <w:szCs w:val="20"/>
                          <w:lang w:val="en-GB"/>
                        </w:rPr>
                        <w:t>versus</w:t>
                      </w:r>
                      <w:r w:rsidRPr="004500E2">
                        <w:rPr>
                          <w:b w:val="0"/>
                          <w:bCs/>
                          <w:sz w:val="22"/>
                          <w:szCs w:val="20"/>
                          <w:lang w:val="en-GB"/>
                        </w:rPr>
                        <w:t xml:space="preserve"> nonobese patients (</w:t>
                      </w:r>
                      <w:proofErr w:type="spellStart"/>
                      <w:r w:rsidRPr="004500E2">
                        <w:rPr>
                          <w:b w:val="0"/>
                          <w:bCs/>
                          <w:sz w:val="22"/>
                          <w:szCs w:val="20"/>
                          <w:lang w:val="en-GB"/>
                        </w:rPr>
                        <w:t>PI</w:t>
                      </w:r>
                      <w:r>
                        <w:rPr>
                          <w:b w:val="0"/>
                          <w:bCs/>
                          <w:sz w:val="22"/>
                          <w:szCs w:val="20"/>
                          <w:vertAlign w:val="subscript"/>
                          <w:lang w:val="en-GB"/>
                        </w:rPr>
                        <w:t>median</w:t>
                      </w:r>
                      <w:proofErr w:type="spellEnd"/>
                      <w:r w:rsidRPr="004500E2">
                        <w:rPr>
                          <w:b w:val="0"/>
                          <w:bCs/>
                          <w:sz w:val="22"/>
                          <w:szCs w:val="20"/>
                          <w:lang w:val="en-GB"/>
                        </w:rPr>
                        <w:t>=</w:t>
                      </w:r>
                      <w:r w:rsidRPr="00BA55C0">
                        <w:rPr>
                          <w:b w:val="0"/>
                          <w:bCs/>
                          <w:sz w:val="22"/>
                          <w:szCs w:val="20"/>
                          <w:lang w:val="en-GB"/>
                        </w:rPr>
                        <w:t>0.651</w:t>
                      </w:r>
                      <w:r w:rsidRPr="004500E2">
                        <w:rPr>
                          <w:b w:val="0"/>
                          <w:bCs/>
                          <w:sz w:val="22"/>
                          <w:szCs w:val="20"/>
                          <w:lang w:val="en-GB"/>
                        </w:rPr>
                        <w:t>,</w:t>
                      </w:r>
                      <w:r w:rsidRPr="00BA55C0">
                        <w:rPr>
                          <w:b w:val="0"/>
                          <w:bCs/>
                          <w:sz w:val="22"/>
                          <w:szCs w:val="20"/>
                          <w:lang w:val="en-GB"/>
                        </w:rPr>
                        <w:t xml:space="preserve"> </w:t>
                      </w:r>
                      <w:r>
                        <w:rPr>
                          <w:b w:val="0"/>
                          <w:bCs/>
                          <w:sz w:val="22"/>
                          <w:szCs w:val="20"/>
                          <w:lang w:val="en-GB"/>
                        </w:rPr>
                        <w:t>range=</w:t>
                      </w:r>
                      <w:r w:rsidRPr="00BA55C0">
                        <w:rPr>
                          <w:b w:val="0"/>
                          <w:bCs/>
                          <w:sz w:val="22"/>
                          <w:szCs w:val="20"/>
                          <w:lang w:val="en-GB"/>
                        </w:rPr>
                        <w:t>0.516-0.850</w:t>
                      </w:r>
                      <w:r w:rsidRPr="004500E2">
                        <w:rPr>
                          <w:b w:val="0"/>
                          <w:bCs/>
                          <w:sz w:val="22"/>
                          <w:szCs w:val="20"/>
                          <w:lang w:val="en-GB"/>
                        </w:rPr>
                        <w:t>).</w:t>
                      </w:r>
                    </w:p>
                    <w:p w14:paraId="49BE57C3" w14:textId="3EA98848" w:rsidR="007A3462" w:rsidRDefault="00F26469" w:rsidP="007A3462">
                      <w:pPr>
                        <w:rPr>
                          <w:szCs w:val="20"/>
                          <w:lang w:val="en-GB"/>
                        </w:rPr>
                      </w:pPr>
                      <w:r w:rsidRPr="00851C86">
                        <w:rPr>
                          <w:b/>
                          <w:bCs/>
                          <w:szCs w:val="20"/>
                          <w:lang w:val="en-GB"/>
                        </w:rPr>
                        <w:t>Conclusion:</w:t>
                      </w:r>
                      <w:r>
                        <w:rPr>
                          <w:szCs w:val="20"/>
                          <w:lang w:val="en-GB"/>
                        </w:rPr>
                        <w:t xml:space="preserve"> The preliminary results were in line with previous studies that suggested saturable binding of CEZ [1,4]. Potential differences in PI between obese and nonobese patients and their clinical relevance will be investigated in the future.</w:t>
                      </w:r>
                    </w:p>
                    <w:p w14:paraId="08DE1717" w14:textId="77777777" w:rsidR="00892BA6" w:rsidRPr="003814CD" w:rsidRDefault="00892BA6" w:rsidP="007A3462">
                      <w:pPr>
                        <w:rPr>
                          <w:lang w:val="en-GB"/>
                        </w:rPr>
                      </w:pPr>
                    </w:p>
                    <w:p w14:paraId="23D658D0" w14:textId="77777777" w:rsidR="00892BA6" w:rsidRDefault="00892BA6" w:rsidP="00892BA6">
                      <w:pPr>
                        <w:pStyle w:val="Sections"/>
                        <w:spacing w:line="240" w:lineRule="auto"/>
                        <w:rPr>
                          <w:sz w:val="20"/>
                          <w:szCs w:val="18"/>
                          <w:lang w:val="en-GB"/>
                        </w:rPr>
                      </w:pPr>
                    </w:p>
                    <w:p w14:paraId="25046F7D" w14:textId="7119D636" w:rsidR="00892BA6" w:rsidRPr="00892BA6" w:rsidRDefault="00892BA6" w:rsidP="00892BA6">
                      <w:pPr>
                        <w:pStyle w:val="Sections"/>
                        <w:spacing w:line="240" w:lineRule="auto"/>
                        <w:rPr>
                          <w:sz w:val="20"/>
                          <w:szCs w:val="18"/>
                          <w:lang w:val="en-GB"/>
                        </w:rPr>
                      </w:pPr>
                      <w:r w:rsidRPr="00892BA6">
                        <w:rPr>
                          <w:sz w:val="20"/>
                          <w:szCs w:val="18"/>
                          <w:lang w:val="en-GB"/>
                        </w:rPr>
                        <w:t>References:</w:t>
                      </w:r>
                    </w:p>
                    <w:p w14:paraId="3635D897" w14:textId="064C0276" w:rsidR="00892BA6" w:rsidRPr="00892BA6" w:rsidRDefault="00892BA6" w:rsidP="00892BA6">
                      <w:pPr>
                        <w:pStyle w:val="Sections"/>
                        <w:spacing w:line="240" w:lineRule="auto"/>
                        <w:rPr>
                          <w:b w:val="0"/>
                          <w:sz w:val="16"/>
                          <w:szCs w:val="16"/>
                          <w:lang w:val="en-GB"/>
                        </w:rPr>
                      </w:pPr>
                      <w:r w:rsidRPr="00892BA6">
                        <w:rPr>
                          <w:b w:val="0"/>
                          <w:sz w:val="16"/>
                          <w:szCs w:val="16"/>
                          <w:lang w:val="en-GB"/>
                        </w:rPr>
                        <w:t xml:space="preserve">[1] C. Dorn et al. J. </w:t>
                      </w:r>
                      <w:proofErr w:type="spellStart"/>
                      <w:r w:rsidRPr="00892BA6">
                        <w:rPr>
                          <w:b w:val="0"/>
                          <w:sz w:val="16"/>
                          <w:szCs w:val="16"/>
                          <w:lang w:val="en-GB"/>
                        </w:rPr>
                        <w:t>Antimicrob</w:t>
                      </w:r>
                      <w:proofErr w:type="spellEnd"/>
                      <w:r w:rsidRPr="00892BA6">
                        <w:rPr>
                          <w:b w:val="0"/>
                          <w:sz w:val="16"/>
                          <w:szCs w:val="16"/>
                          <w:lang w:val="en-GB"/>
                        </w:rPr>
                        <w:t>. Chemother. 76</w:t>
                      </w:r>
                      <w:r>
                        <w:rPr>
                          <w:b w:val="0"/>
                          <w:sz w:val="16"/>
                          <w:szCs w:val="16"/>
                          <w:lang w:val="en-GB"/>
                        </w:rPr>
                        <w:t>:</w:t>
                      </w:r>
                      <w:r w:rsidRPr="00892BA6">
                        <w:rPr>
                          <w:b w:val="0"/>
                          <w:sz w:val="16"/>
                          <w:szCs w:val="16"/>
                          <w:lang w:val="en-GB"/>
                        </w:rPr>
                        <w:t xml:space="preserve"> 2114–2120 (2013)</w:t>
                      </w:r>
                    </w:p>
                    <w:p w14:paraId="4AC2EBF3" w14:textId="69FD72E8" w:rsidR="00892BA6" w:rsidRPr="00892BA6" w:rsidRDefault="00892BA6" w:rsidP="00892BA6">
                      <w:pPr>
                        <w:pStyle w:val="Sections"/>
                        <w:spacing w:line="240" w:lineRule="auto"/>
                        <w:rPr>
                          <w:b w:val="0"/>
                          <w:sz w:val="16"/>
                          <w:szCs w:val="16"/>
                          <w:lang w:val="en-GB"/>
                        </w:rPr>
                      </w:pPr>
                      <w:r w:rsidRPr="00892BA6">
                        <w:rPr>
                          <w:b w:val="0"/>
                          <w:sz w:val="16"/>
                          <w:szCs w:val="16"/>
                          <w:lang w:val="en-GB"/>
                        </w:rPr>
                        <w:t>[2] C. Dorn et al. J</w:t>
                      </w:r>
                      <w:r>
                        <w:rPr>
                          <w:b w:val="0"/>
                          <w:sz w:val="16"/>
                          <w:szCs w:val="16"/>
                          <w:lang w:val="en-GB"/>
                        </w:rPr>
                        <w:t xml:space="preserve">. </w:t>
                      </w:r>
                      <w:proofErr w:type="spellStart"/>
                      <w:r w:rsidRPr="00892BA6">
                        <w:rPr>
                          <w:b w:val="0"/>
                          <w:sz w:val="16"/>
                          <w:szCs w:val="16"/>
                          <w:lang w:val="en-GB"/>
                        </w:rPr>
                        <w:t>Chromatogr</w:t>
                      </w:r>
                      <w:proofErr w:type="spellEnd"/>
                      <w:r>
                        <w:rPr>
                          <w:b w:val="0"/>
                          <w:sz w:val="16"/>
                          <w:szCs w:val="16"/>
                          <w:lang w:val="en-GB"/>
                        </w:rPr>
                        <w:t>.</w:t>
                      </w:r>
                      <w:r w:rsidRPr="00892BA6">
                        <w:rPr>
                          <w:b w:val="0"/>
                          <w:sz w:val="16"/>
                          <w:szCs w:val="16"/>
                          <w:lang w:val="en-GB"/>
                        </w:rPr>
                        <w:t xml:space="preserve"> B, 1118–1119</w:t>
                      </w:r>
                      <w:r>
                        <w:rPr>
                          <w:b w:val="0"/>
                          <w:sz w:val="16"/>
                          <w:szCs w:val="16"/>
                          <w:lang w:val="en-GB"/>
                        </w:rPr>
                        <w:t>:</w:t>
                      </w:r>
                      <w:r w:rsidRPr="00892BA6">
                        <w:rPr>
                          <w:b w:val="0"/>
                          <w:sz w:val="16"/>
                          <w:szCs w:val="16"/>
                          <w:lang w:val="en-GB"/>
                        </w:rPr>
                        <w:t xml:space="preserve"> 51-54 (2019)</w:t>
                      </w:r>
                    </w:p>
                    <w:p w14:paraId="32E2B3FA" w14:textId="392C5EFE" w:rsidR="00892BA6" w:rsidRPr="00892BA6" w:rsidRDefault="00892BA6" w:rsidP="00892BA6">
                      <w:pPr>
                        <w:pStyle w:val="Sections"/>
                        <w:spacing w:line="240" w:lineRule="auto"/>
                        <w:rPr>
                          <w:b w:val="0"/>
                          <w:sz w:val="16"/>
                          <w:szCs w:val="16"/>
                          <w:lang w:val="en-GB"/>
                        </w:rPr>
                      </w:pPr>
                      <w:r w:rsidRPr="00892BA6">
                        <w:rPr>
                          <w:b w:val="0"/>
                          <w:sz w:val="16"/>
                          <w:szCs w:val="16"/>
                          <w:lang w:val="en-GB"/>
                        </w:rPr>
                        <w:t>[3] P. Simon et al. Contemp</w:t>
                      </w:r>
                      <w:r>
                        <w:rPr>
                          <w:b w:val="0"/>
                          <w:sz w:val="16"/>
                          <w:szCs w:val="16"/>
                          <w:lang w:val="en-GB"/>
                        </w:rPr>
                        <w:t>.</w:t>
                      </w:r>
                      <w:r w:rsidRPr="00892BA6">
                        <w:rPr>
                          <w:b w:val="0"/>
                          <w:sz w:val="16"/>
                          <w:szCs w:val="16"/>
                          <w:lang w:val="en-GB"/>
                        </w:rPr>
                        <w:t xml:space="preserve"> Clin</w:t>
                      </w:r>
                      <w:r>
                        <w:rPr>
                          <w:b w:val="0"/>
                          <w:sz w:val="16"/>
                          <w:szCs w:val="16"/>
                          <w:lang w:val="en-GB"/>
                        </w:rPr>
                        <w:t>.</w:t>
                      </w:r>
                      <w:r w:rsidRPr="00892BA6">
                        <w:rPr>
                          <w:b w:val="0"/>
                          <w:sz w:val="16"/>
                          <w:szCs w:val="16"/>
                          <w:lang w:val="en-GB"/>
                        </w:rPr>
                        <w:t xml:space="preserve"> Trials </w:t>
                      </w:r>
                      <w:proofErr w:type="spellStart"/>
                      <w:r w:rsidRPr="00892BA6">
                        <w:rPr>
                          <w:b w:val="0"/>
                          <w:sz w:val="16"/>
                          <w:szCs w:val="16"/>
                          <w:lang w:val="en-GB"/>
                        </w:rPr>
                        <w:t>Commun</w:t>
                      </w:r>
                      <w:proofErr w:type="spellEnd"/>
                      <w:r>
                        <w:rPr>
                          <w:b w:val="0"/>
                          <w:sz w:val="16"/>
                          <w:szCs w:val="16"/>
                          <w:lang w:val="en-GB"/>
                        </w:rPr>
                        <w:t>.</w:t>
                      </w:r>
                      <w:r w:rsidRPr="00892BA6">
                        <w:rPr>
                          <w:b w:val="0"/>
                          <w:sz w:val="16"/>
                          <w:szCs w:val="16"/>
                          <w:lang w:val="en-GB"/>
                        </w:rPr>
                        <w:t xml:space="preserve"> 15</w:t>
                      </w:r>
                      <w:r>
                        <w:rPr>
                          <w:b w:val="0"/>
                          <w:sz w:val="16"/>
                          <w:szCs w:val="16"/>
                          <w:lang w:val="en-GB"/>
                        </w:rPr>
                        <w:t>:</w:t>
                      </w:r>
                      <w:r w:rsidRPr="00892BA6">
                        <w:rPr>
                          <w:b w:val="0"/>
                          <w:sz w:val="16"/>
                          <w:szCs w:val="16"/>
                          <w:lang w:val="en-GB"/>
                        </w:rPr>
                        <w:t xml:space="preserve"> 100375 (2019)</w:t>
                      </w:r>
                    </w:p>
                    <w:p w14:paraId="5BBC5BD4" w14:textId="652D023B" w:rsidR="003814CD" w:rsidRPr="00892BA6" w:rsidRDefault="00892BA6" w:rsidP="00892BA6">
                      <w:pPr>
                        <w:pStyle w:val="Sections"/>
                        <w:spacing w:line="240" w:lineRule="auto"/>
                        <w:rPr>
                          <w:b w:val="0"/>
                          <w:sz w:val="16"/>
                          <w:szCs w:val="16"/>
                          <w:lang w:val="en-GB"/>
                        </w:rPr>
                      </w:pPr>
                      <w:r w:rsidRPr="00892BA6">
                        <w:rPr>
                          <w:b w:val="0"/>
                          <w:sz w:val="16"/>
                          <w:szCs w:val="16"/>
                          <w:lang w:val="en-GB"/>
                        </w:rPr>
                        <w:t>[4] M.J.E. Brill et al. J</w:t>
                      </w:r>
                      <w:r>
                        <w:rPr>
                          <w:b w:val="0"/>
                          <w:sz w:val="16"/>
                          <w:szCs w:val="16"/>
                          <w:lang w:val="en-GB"/>
                        </w:rPr>
                        <w:t>.</w:t>
                      </w:r>
                      <w:r w:rsidRPr="00892BA6">
                        <w:rPr>
                          <w:b w:val="0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proofErr w:type="spellStart"/>
                      <w:r w:rsidRPr="00892BA6">
                        <w:rPr>
                          <w:b w:val="0"/>
                          <w:sz w:val="16"/>
                          <w:szCs w:val="16"/>
                          <w:lang w:val="en-GB"/>
                        </w:rPr>
                        <w:t>Antimicro</w:t>
                      </w:r>
                      <w:r>
                        <w:rPr>
                          <w:b w:val="0"/>
                          <w:sz w:val="16"/>
                          <w:szCs w:val="16"/>
                          <w:lang w:val="en-GB"/>
                        </w:rPr>
                        <w:t>b</w:t>
                      </w:r>
                      <w:proofErr w:type="spellEnd"/>
                      <w:r>
                        <w:rPr>
                          <w:b w:val="0"/>
                          <w:sz w:val="16"/>
                          <w:szCs w:val="16"/>
                          <w:lang w:val="en-GB"/>
                        </w:rPr>
                        <w:t>.</w:t>
                      </w:r>
                      <w:r w:rsidRPr="00892BA6">
                        <w:rPr>
                          <w:b w:val="0"/>
                          <w:sz w:val="16"/>
                          <w:szCs w:val="16"/>
                          <w:lang w:val="en-GB"/>
                        </w:rPr>
                        <w:t xml:space="preserve"> Chemother</w:t>
                      </w:r>
                      <w:r>
                        <w:rPr>
                          <w:b w:val="0"/>
                          <w:sz w:val="16"/>
                          <w:szCs w:val="16"/>
                          <w:lang w:val="en-GB"/>
                        </w:rPr>
                        <w:t>.</w:t>
                      </w:r>
                      <w:r w:rsidRPr="00892BA6">
                        <w:rPr>
                          <w:b w:val="0"/>
                          <w:sz w:val="16"/>
                          <w:szCs w:val="16"/>
                          <w:lang w:val="en-GB"/>
                        </w:rPr>
                        <w:t xml:space="preserve"> 69</w:t>
                      </w:r>
                      <w:r>
                        <w:rPr>
                          <w:b w:val="0"/>
                          <w:sz w:val="16"/>
                          <w:szCs w:val="16"/>
                          <w:lang w:val="en-GB"/>
                        </w:rPr>
                        <w:t>:</w:t>
                      </w:r>
                      <w:r w:rsidRPr="00892BA6">
                        <w:rPr>
                          <w:b w:val="0"/>
                          <w:sz w:val="16"/>
                          <w:szCs w:val="16"/>
                          <w:lang w:val="en-GB"/>
                        </w:rPr>
                        <w:t xml:space="preserve"> 715–723 (2014)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51C86">
        <w:rPr>
          <w:bCs/>
          <w:szCs w:val="24"/>
        </w:rPr>
        <w:t>Example</w:t>
      </w:r>
    </w:p>
    <w:sectPr w:rsidR="002B4EE3" w:rsidRPr="00892BA6" w:rsidSect="007A1059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379DC" w14:textId="77777777" w:rsidR="00A52908" w:rsidRDefault="00A52908" w:rsidP="000765F6">
      <w:pPr>
        <w:spacing w:line="240" w:lineRule="auto"/>
      </w:pPr>
      <w:r>
        <w:separator/>
      </w:r>
    </w:p>
  </w:endnote>
  <w:endnote w:type="continuationSeparator" w:id="0">
    <w:p w14:paraId="4B6594E8" w14:textId="77777777" w:rsidR="00A52908" w:rsidRDefault="00A52908" w:rsidP="000765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D473E" w14:textId="77777777" w:rsidR="00A52908" w:rsidRDefault="00A52908" w:rsidP="000765F6">
      <w:pPr>
        <w:spacing w:line="240" w:lineRule="auto"/>
      </w:pPr>
      <w:r>
        <w:separator/>
      </w:r>
    </w:p>
  </w:footnote>
  <w:footnote w:type="continuationSeparator" w:id="0">
    <w:p w14:paraId="7E7FFA12" w14:textId="77777777" w:rsidR="00A52908" w:rsidRDefault="00A52908" w:rsidP="000765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4A92D" w14:textId="7BD2B03D" w:rsidR="000765F6" w:rsidRPr="00284F0C" w:rsidRDefault="00892BA6" w:rsidP="000765F6">
    <w:pPr>
      <w:spacing w:line="240" w:lineRule="auto"/>
      <w:jc w:val="center"/>
      <w:rPr>
        <w:rFonts w:cs="Times New Roman"/>
        <w:sz w:val="20"/>
        <w:szCs w:val="20"/>
        <w:lang w:val="en-US"/>
      </w:rPr>
    </w:pPr>
    <w:r>
      <w:rPr>
        <w:rFonts w:cs="Times New Roman"/>
        <w:sz w:val="20"/>
        <w:szCs w:val="20"/>
        <w:lang w:val="en-US"/>
      </w:rPr>
      <w:t>0</w:t>
    </w:r>
    <w:r w:rsidR="000765F6">
      <w:rPr>
        <w:rFonts w:cs="Times New Roman"/>
        <w:sz w:val="20"/>
        <w:szCs w:val="20"/>
        <w:lang w:val="en-US"/>
      </w:rPr>
      <w:t>7-</w:t>
    </w:r>
    <w:r>
      <w:rPr>
        <w:rFonts w:cs="Times New Roman"/>
        <w:sz w:val="20"/>
        <w:szCs w:val="20"/>
        <w:lang w:val="en-US"/>
      </w:rPr>
      <w:t>0</w:t>
    </w:r>
    <w:r w:rsidR="000765F6">
      <w:rPr>
        <w:rFonts w:cs="Times New Roman"/>
        <w:sz w:val="20"/>
        <w:szCs w:val="20"/>
        <w:lang w:val="en-US"/>
      </w:rPr>
      <w:t>9 September 2022</w:t>
    </w:r>
    <w:r w:rsidR="000765F6" w:rsidRPr="00284F0C">
      <w:rPr>
        <w:rFonts w:cs="Times New Roman"/>
        <w:sz w:val="20"/>
        <w:szCs w:val="20"/>
        <w:lang w:val="en-US"/>
      </w:rPr>
      <w:t>, Berlin</w:t>
    </w:r>
  </w:p>
  <w:p w14:paraId="518344A0" w14:textId="4B81F34F" w:rsidR="000765F6" w:rsidRPr="003814CD" w:rsidRDefault="00892BA6" w:rsidP="003814CD">
    <w:pPr>
      <w:spacing w:line="240" w:lineRule="auto"/>
      <w:jc w:val="center"/>
      <w:rPr>
        <w:rFonts w:cs="Times New Roman"/>
        <w:sz w:val="20"/>
        <w:szCs w:val="20"/>
        <w:lang w:val="en-US"/>
      </w:rPr>
    </w:pPr>
    <w:r>
      <w:rPr>
        <w:rFonts w:cs="Times New Roman"/>
        <w:sz w:val="20"/>
        <w:szCs w:val="20"/>
        <w:lang w:val="en-US"/>
      </w:rPr>
      <w:t>9</w:t>
    </w:r>
    <w:r w:rsidRPr="00892BA6">
      <w:rPr>
        <w:rFonts w:cs="Times New Roman"/>
        <w:sz w:val="20"/>
        <w:szCs w:val="20"/>
        <w:vertAlign w:val="superscript"/>
        <w:lang w:val="en-US"/>
      </w:rPr>
      <w:t>th</w:t>
    </w:r>
    <w:r>
      <w:rPr>
        <w:rFonts w:cs="Times New Roman"/>
        <w:sz w:val="20"/>
        <w:szCs w:val="20"/>
        <w:lang w:val="en-US"/>
      </w:rPr>
      <w:t xml:space="preserve"> </w:t>
    </w:r>
    <w:r w:rsidR="000765F6">
      <w:rPr>
        <w:rFonts w:cs="Times New Roman"/>
        <w:sz w:val="20"/>
        <w:szCs w:val="20"/>
        <w:lang w:val="en-US"/>
      </w:rPr>
      <w:t xml:space="preserve">International </w:t>
    </w:r>
    <w:proofErr w:type="spellStart"/>
    <w:r w:rsidR="000765F6">
      <w:rPr>
        <w:rFonts w:cs="Times New Roman"/>
        <w:sz w:val="20"/>
        <w:szCs w:val="20"/>
        <w:lang w:val="en-US"/>
      </w:rPr>
      <w:t>Microdialysis</w:t>
    </w:r>
    <w:proofErr w:type="spellEnd"/>
    <w:r w:rsidR="000765F6">
      <w:rPr>
        <w:rFonts w:cs="Times New Roman"/>
        <w:sz w:val="20"/>
        <w:szCs w:val="20"/>
        <w:lang w:val="en-US"/>
      </w:rPr>
      <w:t xml:space="preserve"> Symposium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33130"/>
    <w:multiLevelType w:val="hybridMultilevel"/>
    <w:tmpl w:val="C1509F14"/>
    <w:lvl w:ilvl="0" w:tplc="DFFC86C4">
      <w:start w:val="1"/>
      <w:numFmt w:val="bullet"/>
      <w:lvlText w:val="□"/>
      <w:lvlJc w:val="righ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F0C"/>
    <w:rsid w:val="000765F6"/>
    <w:rsid w:val="000C568E"/>
    <w:rsid w:val="00116390"/>
    <w:rsid w:val="001D4972"/>
    <w:rsid w:val="0026654D"/>
    <w:rsid w:val="00284F0C"/>
    <w:rsid w:val="002B4EE3"/>
    <w:rsid w:val="002F1542"/>
    <w:rsid w:val="003814CD"/>
    <w:rsid w:val="003C55DB"/>
    <w:rsid w:val="003E5889"/>
    <w:rsid w:val="00412412"/>
    <w:rsid w:val="0056726F"/>
    <w:rsid w:val="00577637"/>
    <w:rsid w:val="0060566A"/>
    <w:rsid w:val="00611789"/>
    <w:rsid w:val="00654BEB"/>
    <w:rsid w:val="006745B8"/>
    <w:rsid w:val="00767518"/>
    <w:rsid w:val="007A1059"/>
    <w:rsid w:val="007A3462"/>
    <w:rsid w:val="007B444D"/>
    <w:rsid w:val="00805372"/>
    <w:rsid w:val="00845247"/>
    <w:rsid w:val="00851C86"/>
    <w:rsid w:val="00874DE0"/>
    <w:rsid w:val="00885F38"/>
    <w:rsid w:val="00890531"/>
    <w:rsid w:val="00892BA6"/>
    <w:rsid w:val="00933AB3"/>
    <w:rsid w:val="009D12A9"/>
    <w:rsid w:val="00A52908"/>
    <w:rsid w:val="00A648E9"/>
    <w:rsid w:val="00AA0B36"/>
    <w:rsid w:val="00B476E4"/>
    <w:rsid w:val="00B93EC3"/>
    <w:rsid w:val="00BE5641"/>
    <w:rsid w:val="00D61247"/>
    <w:rsid w:val="00DA1D4B"/>
    <w:rsid w:val="00E951F7"/>
    <w:rsid w:val="00F04099"/>
    <w:rsid w:val="00F26469"/>
    <w:rsid w:val="00F479F4"/>
    <w:rsid w:val="00F7483C"/>
    <w:rsid w:val="00FC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F2F019"/>
  <w15:chartTrackingRefBased/>
  <w15:docId w15:val="{966C8FC5-BAAD-4EA1-9D5A-79D190EE4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rsid w:val="00805372"/>
    <w:pPr>
      <w:spacing w:after="0" w:line="360" w:lineRule="auto"/>
      <w:jc w:val="both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84F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84F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Sandard">
    <w:name w:val="Sandard"/>
    <w:basedOn w:val="NormaleTabelle"/>
    <w:uiPriority w:val="99"/>
    <w:rsid w:val="00611789"/>
    <w:pPr>
      <w:spacing w:after="0" w:line="240" w:lineRule="auto"/>
    </w:pPr>
    <w:tblPr>
      <w:tblBorders>
        <w:top w:val="single" w:sz="12" w:space="0" w:color="auto"/>
        <w:bottom w:val="single" w:sz="12" w:space="0" w:color="auto"/>
      </w:tblBorders>
    </w:tblPr>
    <w:tblStylePr w:type="firstRow">
      <w:pPr>
        <w:jc w:val="left"/>
      </w:pPr>
      <w:rPr>
        <w:rFonts w:asciiTheme="minorHAnsi" w:hAnsiTheme="minorHAnsi"/>
      </w:rPr>
      <w:tblPr/>
      <w:tcPr>
        <w:tcBorders>
          <w:bottom w:val="single" w:sz="4" w:space="0" w:color="auto"/>
          <w:insideH w:val="nil"/>
        </w:tcBorders>
      </w:tcPr>
    </w:tblStylePr>
  </w:style>
  <w:style w:type="paragraph" w:customStyle="1" w:styleId="HartmutDerendorfMycrodialysisSymposiumAbstractTemplate">
    <w:name w:val="Hartmut Derendorf Mycrodialysis Symposium Abstract Template"/>
    <w:basedOn w:val="Standard"/>
    <w:link w:val="HartmutDerendorfMycrodialysisSymposiumAbstractTemplateZchn"/>
    <w:rsid w:val="00284F0C"/>
  </w:style>
  <w:style w:type="paragraph" w:styleId="KeinLeerraum">
    <w:name w:val="No Spacing"/>
    <w:aliases w:val="TextStandard"/>
    <w:uiPriority w:val="1"/>
    <w:qFormat/>
    <w:rsid w:val="00284F0C"/>
    <w:pPr>
      <w:spacing w:after="0" w:line="240" w:lineRule="auto"/>
    </w:pPr>
  </w:style>
  <w:style w:type="character" w:customStyle="1" w:styleId="HartmutDerendorfMycrodialysisSymposiumAbstractTemplateZchn">
    <w:name w:val="Hartmut Derendorf Mycrodialysis Symposium Abstract Template Zchn"/>
    <w:basedOn w:val="Absatz-Standardschriftart"/>
    <w:link w:val="HartmutDerendorfMycrodialysisSymposiumAbstractTemplate"/>
    <w:rsid w:val="00284F0C"/>
  </w:style>
  <w:style w:type="character" w:customStyle="1" w:styleId="berschrift2Zchn">
    <w:name w:val="Überschrift 2 Zchn"/>
    <w:basedOn w:val="Absatz-Standardschriftart"/>
    <w:link w:val="berschrift2"/>
    <w:uiPriority w:val="9"/>
    <w:rsid w:val="00284F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84F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284F0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84F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ections">
    <w:name w:val="Sections"/>
    <w:basedOn w:val="Standard"/>
    <w:link w:val="SectionsZchn"/>
    <w:qFormat/>
    <w:rsid w:val="00284F0C"/>
    <w:rPr>
      <w:b/>
      <w:sz w:val="24"/>
      <w:lang w:val="en-US"/>
    </w:rPr>
  </w:style>
  <w:style w:type="character" w:customStyle="1" w:styleId="SectionsZchn">
    <w:name w:val="Sections Zchn"/>
    <w:basedOn w:val="Absatz-Standardschriftart"/>
    <w:link w:val="Sections"/>
    <w:rsid w:val="00284F0C"/>
    <w:rPr>
      <w:rFonts w:ascii="Times New Roman" w:hAnsi="Times New Roman"/>
      <w:b/>
      <w:sz w:val="24"/>
      <w:lang w:val="en-US"/>
    </w:rPr>
  </w:style>
  <w:style w:type="paragraph" w:styleId="Listenabsatz">
    <w:name w:val="List Paragraph"/>
    <w:basedOn w:val="Standard"/>
    <w:uiPriority w:val="34"/>
    <w:qFormat/>
    <w:rsid w:val="00B476E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765F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65F6"/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0765F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65F6"/>
    <w:rPr>
      <w:rFonts w:ascii="Times New Roman" w:hAnsi="Times New Roman"/>
    </w:rPr>
  </w:style>
  <w:style w:type="paragraph" w:styleId="berarbeitung">
    <w:name w:val="Revision"/>
    <w:hidden/>
    <w:uiPriority w:val="99"/>
    <w:semiHidden/>
    <w:rsid w:val="003E5889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5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7B1B6-DEF3-4187-9F27-C8FA26015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Müller</dc:creator>
  <cp:keywords/>
  <dc:description/>
  <cp:lastModifiedBy>k</cp:lastModifiedBy>
  <cp:revision>2</cp:revision>
  <dcterms:created xsi:type="dcterms:W3CDTF">2022-04-06T19:48:00Z</dcterms:created>
  <dcterms:modified xsi:type="dcterms:W3CDTF">2022-04-06T19:48:00Z</dcterms:modified>
</cp:coreProperties>
</file>